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92" w:type="dxa"/>
        <w:tblLook w:val="01E0" w:firstRow="1" w:lastRow="1" w:firstColumn="1" w:lastColumn="1" w:noHBand="0" w:noVBand="0"/>
      </w:tblPr>
      <w:tblGrid>
        <w:gridCol w:w="2040"/>
        <w:gridCol w:w="7174"/>
      </w:tblGrid>
      <w:tr w:rsidR="00E27E07" w:rsidRPr="00536A90" w:rsidTr="00536A90">
        <w:tc>
          <w:tcPr>
            <w:tcW w:w="9214" w:type="dxa"/>
            <w:gridSpan w:val="2"/>
          </w:tcPr>
          <w:p w:rsidR="00F90820" w:rsidRPr="00F90820" w:rsidRDefault="00F90820" w:rsidP="00CF5C09">
            <w:pPr>
              <w:tabs>
                <w:tab w:val="clear" w:pos="567"/>
                <w:tab w:val="clear" w:pos="4961"/>
                <w:tab w:val="left" w:pos="-108"/>
              </w:tabs>
              <w:spacing w:line="276" w:lineRule="auto"/>
              <w:ind w:left="-108"/>
              <w:jc w:val="center"/>
              <w:rPr>
                <w:rFonts w:cs="Arial"/>
                <w:b/>
                <w:lang w:val="el-GR"/>
              </w:rPr>
            </w:pPr>
            <w:bookmarkStart w:id="0" w:name="_GoBack"/>
            <w:bookmarkEnd w:id="0"/>
            <w:r w:rsidRPr="00F90820">
              <w:rPr>
                <w:rFonts w:cs="Arial"/>
                <w:b/>
                <w:lang w:val="el-GR"/>
              </w:rPr>
              <w:t>ΝΟΜΟΣΧΕΔΙΟ ΜΕ ΤΙΤΛΟ</w:t>
            </w:r>
          </w:p>
          <w:p w:rsidR="00F90820" w:rsidRPr="00F90820" w:rsidRDefault="00F90820" w:rsidP="00CF5C09">
            <w:pPr>
              <w:tabs>
                <w:tab w:val="clear" w:pos="567"/>
                <w:tab w:val="clear" w:pos="4961"/>
                <w:tab w:val="left" w:pos="-108"/>
              </w:tabs>
              <w:spacing w:line="276" w:lineRule="auto"/>
              <w:ind w:left="-108"/>
              <w:jc w:val="center"/>
              <w:rPr>
                <w:rFonts w:cs="Arial"/>
                <w:b/>
                <w:lang w:val="el-GR"/>
              </w:rPr>
            </w:pPr>
            <w:r w:rsidRPr="00F90820">
              <w:rPr>
                <w:rFonts w:cs="Arial"/>
                <w:b/>
                <w:lang w:val="el-GR"/>
              </w:rPr>
              <w:t xml:space="preserve">«ΝΟΜΟΣ ΠΟΥ ΤΡΟΠΟΠΟΙΕΙ ΤΟΥΣ ΠΕΡΙ ΦΟΡΟΛΟΓΙΑΣ ΤΟΥ ΕΙΣΟΔΗΜΑΤΟΣ ΝΟΜΟΥΣ ΤΟΥ 2002 ΜΕΧΡΙ </w:t>
            </w:r>
            <w:r w:rsidR="005F255E">
              <w:rPr>
                <w:rFonts w:cs="Arial"/>
                <w:b/>
                <w:lang w:val="el-GR"/>
              </w:rPr>
              <w:t>(αρ.2) ΤΟΥ 2018</w:t>
            </w:r>
            <w:r w:rsidRPr="00F90820">
              <w:rPr>
                <w:rFonts w:cs="Arial"/>
                <w:b/>
                <w:lang w:val="el-GR"/>
              </w:rPr>
              <w:t>»</w:t>
            </w:r>
          </w:p>
          <w:p w:rsidR="00E27E07" w:rsidRPr="00E27E07" w:rsidRDefault="00E27E07" w:rsidP="00605334">
            <w:pPr>
              <w:spacing w:line="360" w:lineRule="auto"/>
              <w:jc w:val="center"/>
              <w:rPr>
                <w:b/>
                <w:lang w:val="el-GR"/>
              </w:rPr>
            </w:pPr>
          </w:p>
        </w:tc>
      </w:tr>
      <w:tr w:rsidR="00341E02" w:rsidRPr="00536A90" w:rsidTr="00536A90">
        <w:tc>
          <w:tcPr>
            <w:tcW w:w="2040" w:type="dxa"/>
          </w:tcPr>
          <w:p w:rsidR="00341E02" w:rsidRPr="00AF6CEF" w:rsidRDefault="00341E02" w:rsidP="00CF5C09">
            <w:pPr>
              <w:spacing w:line="276" w:lineRule="auto"/>
              <w:rPr>
                <w:sz w:val="20"/>
                <w:szCs w:val="20"/>
                <w:lang w:val="el-GR"/>
              </w:rPr>
            </w:pPr>
            <w:r w:rsidRPr="00AF6CEF">
              <w:rPr>
                <w:sz w:val="20"/>
                <w:szCs w:val="20"/>
                <w:lang w:val="el-GR"/>
              </w:rPr>
              <w:t>Προοίμιο.</w:t>
            </w:r>
          </w:p>
        </w:tc>
        <w:tc>
          <w:tcPr>
            <w:tcW w:w="7174" w:type="dxa"/>
          </w:tcPr>
          <w:p w:rsidR="00341E02" w:rsidRPr="00CF5C09" w:rsidRDefault="00341E02" w:rsidP="00E37505">
            <w:pPr>
              <w:spacing w:line="360" w:lineRule="auto"/>
              <w:rPr>
                <w:sz w:val="22"/>
                <w:szCs w:val="22"/>
                <w:lang w:val="el-GR"/>
              </w:rPr>
            </w:pPr>
            <w:r w:rsidRPr="00CF5C09">
              <w:rPr>
                <w:sz w:val="22"/>
                <w:szCs w:val="22"/>
                <w:lang w:val="el-GR"/>
              </w:rPr>
              <w:t>Για σκοπούς εναρμόνισης με την πράξη της Ευρωπαϊκής Ένωσης με τίτλο-</w:t>
            </w:r>
          </w:p>
          <w:p w:rsidR="00341E02" w:rsidRPr="00CF5C09" w:rsidRDefault="00341E02" w:rsidP="00E37505">
            <w:pPr>
              <w:spacing w:line="360" w:lineRule="auto"/>
              <w:rPr>
                <w:sz w:val="22"/>
                <w:szCs w:val="22"/>
                <w:lang w:val="el-GR"/>
              </w:rPr>
            </w:pPr>
          </w:p>
        </w:tc>
      </w:tr>
      <w:tr w:rsidR="00341E02" w:rsidRPr="00536A90" w:rsidTr="00536A90">
        <w:tc>
          <w:tcPr>
            <w:tcW w:w="2040" w:type="dxa"/>
          </w:tcPr>
          <w:p w:rsidR="00341E02" w:rsidRPr="00AF6CEF" w:rsidRDefault="00341E02" w:rsidP="00CF5C09">
            <w:pPr>
              <w:spacing w:line="276" w:lineRule="auto"/>
              <w:jc w:val="left"/>
              <w:rPr>
                <w:rFonts w:cs="Arial"/>
                <w:sz w:val="20"/>
                <w:lang w:val="el-GR"/>
              </w:rPr>
            </w:pPr>
            <w:r w:rsidRPr="00AF6CEF">
              <w:rPr>
                <w:rFonts w:cs="Arial"/>
                <w:sz w:val="20"/>
                <w:lang w:val="el-GR"/>
              </w:rPr>
              <w:t xml:space="preserve">Επίσημη Εφημερίδα της E.E.:  L </w:t>
            </w:r>
            <w:r>
              <w:rPr>
                <w:rFonts w:cs="Arial"/>
                <w:sz w:val="20"/>
                <w:lang w:val="el-GR"/>
              </w:rPr>
              <w:t>265</w:t>
            </w:r>
            <w:r w:rsidRPr="00AF6CEF">
              <w:rPr>
                <w:rFonts w:cs="Arial"/>
                <w:sz w:val="20"/>
                <w:lang w:val="el-GR"/>
              </w:rPr>
              <w:t xml:space="preserve">, </w:t>
            </w:r>
            <w:r>
              <w:rPr>
                <w:rFonts w:cs="Arial"/>
                <w:sz w:val="20"/>
                <w:lang w:val="el-GR"/>
              </w:rPr>
              <w:t>14</w:t>
            </w:r>
            <w:r w:rsidRPr="00AF6CEF">
              <w:rPr>
                <w:rFonts w:cs="Arial"/>
                <w:sz w:val="20"/>
                <w:lang w:val="el-GR"/>
              </w:rPr>
              <w:t>.</w:t>
            </w:r>
            <w:r>
              <w:rPr>
                <w:rFonts w:cs="Arial"/>
                <w:sz w:val="20"/>
                <w:lang w:val="el-GR"/>
              </w:rPr>
              <w:t>10</w:t>
            </w:r>
            <w:r w:rsidRPr="00AF6CEF">
              <w:rPr>
                <w:rFonts w:cs="Arial"/>
                <w:sz w:val="20"/>
                <w:lang w:val="el-GR"/>
              </w:rPr>
              <w:t>.201</w:t>
            </w:r>
            <w:r>
              <w:rPr>
                <w:rFonts w:cs="Arial"/>
                <w:sz w:val="20"/>
                <w:lang w:val="el-GR"/>
              </w:rPr>
              <w:t>7</w:t>
            </w:r>
            <w:r w:rsidRPr="00AF6CEF">
              <w:rPr>
                <w:rFonts w:cs="Arial"/>
                <w:sz w:val="20"/>
                <w:lang w:val="el-GR"/>
              </w:rPr>
              <w:t xml:space="preserve">, </w:t>
            </w:r>
          </w:p>
          <w:p w:rsidR="00341E02" w:rsidRPr="00AF6CEF" w:rsidRDefault="00341E02" w:rsidP="00CF5C09">
            <w:pPr>
              <w:spacing w:line="276" w:lineRule="auto"/>
              <w:rPr>
                <w:rFonts w:cs="Arial"/>
                <w:sz w:val="20"/>
                <w:lang w:val="el-GR"/>
              </w:rPr>
            </w:pPr>
            <w:r w:rsidRPr="00AF6CEF">
              <w:rPr>
                <w:rFonts w:cs="Arial"/>
                <w:sz w:val="20"/>
                <w:lang w:val="el-GR"/>
              </w:rPr>
              <w:t xml:space="preserve">σ. </w:t>
            </w:r>
            <w:r>
              <w:rPr>
                <w:rFonts w:cs="Arial"/>
                <w:sz w:val="20"/>
                <w:lang w:val="el-GR"/>
              </w:rPr>
              <w:t>1</w:t>
            </w:r>
            <w:r w:rsidRPr="00AF6CEF">
              <w:rPr>
                <w:rFonts w:cs="Arial"/>
                <w:sz w:val="20"/>
                <w:lang w:val="el-GR"/>
              </w:rPr>
              <w:t>.</w:t>
            </w:r>
          </w:p>
        </w:tc>
        <w:tc>
          <w:tcPr>
            <w:tcW w:w="7174" w:type="dxa"/>
          </w:tcPr>
          <w:p w:rsidR="00341E02" w:rsidRPr="00CF5C09" w:rsidRDefault="00341E02" w:rsidP="00E37505">
            <w:pPr>
              <w:spacing w:line="360" w:lineRule="auto"/>
              <w:rPr>
                <w:sz w:val="22"/>
                <w:szCs w:val="22"/>
                <w:lang w:val="el-GR"/>
              </w:rPr>
            </w:pPr>
            <w:r w:rsidRPr="00CF5C09">
              <w:rPr>
                <w:sz w:val="22"/>
                <w:szCs w:val="22"/>
                <w:lang w:val="el-GR"/>
              </w:rPr>
              <w:t>«Οδηγία (ΕΕ) 2017/1852 του Συμβουλίου της 10ης Οκτωβρίου 2018 για τους μηχανισμούς επίλυσης φορολογικών διαφορών στην Ευρωπαϊκή Ένωση».</w:t>
            </w:r>
          </w:p>
          <w:p w:rsidR="00341E02" w:rsidRPr="00CF5C09" w:rsidRDefault="00341E02" w:rsidP="00E37505">
            <w:pPr>
              <w:spacing w:line="360" w:lineRule="auto"/>
              <w:rPr>
                <w:sz w:val="22"/>
                <w:szCs w:val="22"/>
                <w:lang w:val="el-GR"/>
              </w:rPr>
            </w:pPr>
          </w:p>
        </w:tc>
      </w:tr>
      <w:tr w:rsidR="00341E02" w:rsidRPr="00536A90" w:rsidTr="00536A90">
        <w:tc>
          <w:tcPr>
            <w:tcW w:w="2040" w:type="dxa"/>
          </w:tcPr>
          <w:p w:rsidR="00341E02" w:rsidRPr="00CF5C09" w:rsidRDefault="00341E02" w:rsidP="00CF5C09">
            <w:pPr>
              <w:spacing w:line="276" w:lineRule="auto"/>
              <w:rPr>
                <w:sz w:val="20"/>
                <w:szCs w:val="20"/>
                <w:lang w:val="el-GR"/>
              </w:rPr>
            </w:pPr>
            <w:r w:rsidRPr="00CF5C09">
              <w:rPr>
                <w:sz w:val="20"/>
                <w:szCs w:val="20"/>
                <w:lang w:val="el-GR"/>
              </w:rPr>
              <w:t>Συνοπτικός</w:t>
            </w:r>
            <w:r w:rsidR="00CF5C09" w:rsidRPr="00536A90">
              <w:rPr>
                <w:sz w:val="20"/>
                <w:szCs w:val="20"/>
                <w:lang w:val="el-GR"/>
              </w:rPr>
              <w:t xml:space="preserve">  </w:t>
            </w:r>
            <w:r w:rsidRPr="00CF5C09">
              <w:rPr>
                <w:sz w:val="20"/>
                <w:szCs w:val="20"/>
                <w:lang w:val="el-GR"/>
              </w:rPr>
              <w:t>τίτλος.</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118(</w:t>
            </w:r>
            <w:r w:rsidRPr="00CF5C09">
              <w:rPr>
                <w:rFonts w:cs="Arial"/>
                <w:sz w:val="20"/>
                <w:szCs w:val="20"/>
              </w:rPr>
              <w:t>I</w:t>
            </w:r>
            <w:r w:rsidRPr="00CF5C09">
              <w:rPr>
                <w:rFonts w:cs="Arial"/>
                <w:sz w:val="20"/>
                <w:szCs w:val="20"/>
                <w:lang w:val="el-GR"/>
              </w:rPr>
              <w:t>) του 2002</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230(Ι) του 2002</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162(Ι) του 2003</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195(Ι) του 2004</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92(Ι) του 2005</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113(Ι) του 2006</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80(Ι) του 2007</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138(Ι) του 2007</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32(</w:t>
            </w:r>
            <w:r w:rsidRPr="00CF5C09">
              <w:rPr>
                <w:rFonts w:cs="Arial"/>
                <w:sz w:val="20"/>
                <w:szCs w:val="20"/>
              </w:rPr>
              <w:t>I</w:t>
            </w:r>
            <w:r w:rsidRPr="00CF5C09">
              <w:rPr>
                <w:rFonts w:cs="Arial"/>
                <w:sz w:val="20"/>
                <w:szCs w:val="20"/>
                <w:lang w:val="el-GR"/>
              </w:rPr>
              <w:t>) του 2009</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45(Ι) του 2009</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74(Ι) του 2009</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110(Ι) του 2009</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41(Ι) του 2010</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133(Ι) του 2010</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116(Ι) του 2011</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197(Ι) του 2011</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102(Ι) του 2012</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188(Ι) του 2012</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19(Ι) του 2013</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26(Ι) του 2013</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27(Ι) του 2013</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17(Ι) του 2014</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115(Ι) του 2014</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134(Ι) του 2014</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170(Ι) του 2014</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116(Ι) του 2015</w:t>
            </w:r>
          </w:p>
          <w:p w:rsidR="00341E02" w:rsidRPr="00CF5C09" w:rsidRDefault="00341E02" w:rsidP="00CF5C09">
            <w:pPr>
              <w:spacing w:line="276" w:lineRule="auto"/>
              <w:jc w:val="right"/>
              <w:rPr>
                <w:rFonts w:cs="Arial"/>
                <w:sz w:val="20"/>
                <w:szCs w:val="20"/>
                <w:lang w:val="el-GR"/>
              </w:rPr>
            </w:pPr>
            <w:r w:rsidRPr="00CF5C09">
              <w:rPr>
                <w:rFonts w:cs="Arial"/>
                <w:sz w:val="20"/>
                <w:szCs w:val="20"/>
                <w:lang w:val="el-GR"/>
              </w:rPr>
              <w:t>187(Ι) του 2015</w:t>
            </w:r>
          </w:p>
          <w:p w:rsidR="003E5E0E" w:rsidRPr="00CF5C09" w:rsidRDefault="00341E02" w:rsidP="00CF5C09">
            <w:pPr>
              <w:spacing w:line="276" w:lineRule="auto"/>
              <w:jc w:val="right"/>
              <w:rPr>
                <w:rFonts w:cs="Arial"/>
                <w:sz w:val="20"/>
                <w:szCs w:val="20"/>
                <w:lang w:val="el-GR"/>
              </w:rPr>
            </w:pPr>
            <w:r w:rsidRPr="00CF5C09">
              <w:rPr>
                <w:rFonts w:cs="Arial"/>
                <w:sz w:val="20"/>
                <w:szCs w:val="20"/>
                <w:lang w:val="el-GR"/>
              </w:rPr>
              <w:t>212(Ι) του 2015</w:t>
            </w:r>
          </w:p>
          <w:p w:rsidR="003E5E0E" w:rsidRPr="00CF5C09" w:rsidRDefault="003E5E0E" w:rsidP="00CF5C09">
            <w:pPr>
              <w:widowControl/>
              <w:tabs>
                <w:tab w:val="clear" w:pos="567"/>
                <w:tab w:val="clear" w:pos="4961"/>
              </w:tabs>
              <w:autoSpaceDE w:val="0"/>
              <w:autoSpaceDN w:val="0"/>
              <w:adjustRightInd w:val="0"/>
              <w:spacing w:line="276" w:lineRule="auto"/>
              <w:ind w:left="283"/>
              <w:jc w:val="right"/>
              <w:rPr>
                <w:rFonts w:cs="Arial"/>
                <w:color w:val="000000"/>
                <w:sz w:val="20"/>
                <w:szCs w:val="20"/>
                <w:lang w:val="el-GR" w:eastAsia="el-GR"/>
              </w:rPr>
            </w:pPr>
            <w:r w:rsidRPr="00CF5C09">
              <w:rPr>
                <w:rFonts w:cs="Arial"/>
                <w:bCs/>
                <w:color w:val="000000"/>
                <w:sz w:val="20"/>
                <w:szCs w:val="20"/>
                <w:lang w:val="el-GR" w:eastAsia="el-GR"/>
              </w:rPr>
              <w:t xml:space="preserve">110(Ι) του 2016  135(I) του 2016  119(I) του 2017 134(Ι) του 2017  </w:t>
            </w:r>
          </w:p>
          <w:p w:rsidR="00341E02" w:rsidRPr="00CF5C09" w:rsidRDefault="003E5E0E" w:rsidP="00CF5C09">
            <w:pPr>
              <w:widowControl/>
              <w:tabs>
                <w:tab w:val="clear" w:pos="567"/>
                <w:tab w:val="clear" w:pos="4961"/>
              </w:tabs>
              <w:autoSpaceDE w:val="0"/>
              <w:autoSpaceDN w:val="0"/>
              <w:adjustRightInd w:val="0"/>
              <w:spacing w:line="276" w:lineRule="auto"/>
              <w:jc w:val="right"/>
              <w:rPr>
                <w:rFonts w:cs="Arial"/>
                <w:sz w:val="20"/>
                <w:szCs w:val="20"/>
                <w:lang w:val="el-GR"/>
              </w:rPr>
            </w:pPr>
            <w:r w:rsidRPr="00CF5C09">
              <w:rPr>
                <w:rFonts w:cs="Arial"/>
                <w:bCs/>
                <w:color w:val="000000"/>
                <w:sz w:val="20"/>
                <w:szCs w:val="20"/>
                <w:lang w:val="el-GR" w:eastAsia="el-GR"/>
              </w:rPr>
              <w:t>165(Ι) του 2017  51(Ι) του 2018</w:t>
            </w:r>
            <w:r w:rsidR="00341E02" w:rsidRPr="00CF5C09">
              <w:rPr>
                <w:rFonts w:cs="Arial"/>
                <w:sz w:val="20"/>
                <w:szCs w:val="20"/>
                <w:lang w:val="el-GR"/>
              </w:rPr>
              <w:t>.</w:t>
            </w:r>
          </w:p>
        </w:tc>
        <w:tc>
          <w:tcPr>
            <w:tcW w:w="7174" w:type="dxa"/>
          </w:tcPr>
          <w:p w:rsidR="00341E02" w:rsidRPr="00CF5C09" w:rsidRDefault="00341E02" w:rsidP="00CF5C09">
            <w:pPr>
              <w:tabs>
                <w:tab w:val="clear" w:pos="567"/>
                <w:tab w:val="left" w:pos="0"/>
              </w:tabs>
              <w:spacing w:line="360" w:lineRule="auto"/>
              <w:ind w:firstLine="176"/>
              <w:rPr>
                <w:rFonts w:cs="Arial"/>
                <w:sz w:val="22"/>
                <w:szCs w:val="22"/>
                <w:lang w:val="el-GR"/>
              </w:rPr>
            </w:pPr>
            <w:r w:rsidRPr="00CF5C09">
              <w:rPr>
                <w:b/>
                <w:sz w:val="22"/>
                <w:szCs w:val="22"/>
                <w:lang w:val="el-GR"/>
              </w:rPr>
              <w:t>1.</w:t>
            </w:r>
            <w:r w:rsidRPr="00CF5C09">
              <w:rPr>
                <w:sz w:val="22"/>
                <w:szCs w:val="22"/>
                <w:lang w:val="el-GR"/>
              </w:rPr>
              <w:t xml:space="preserve"> </w:t>
            </w:r>
            <w:r w:rsidRPr="00CF5C09">
              <w:rPr>
                <w:rFonts w:cs="Arial"/>
                <w:sz w:val="22"/>
                <w:szCs w:val="22"/>
                <w:lang w:val="el-GR"/>
              </w:rPr>
              <w:t>Ο παρών Νόμος θα αναφέρεται ως ο περί Φορολογίας του Εισοδήματος (Τροποποιητικός) (Αρ.3) Νόμος του 2018 και θα διαβάζεται μαζί με τους περί Φορολογίας του Εισοδήματος Νόμους του 2002 μέχρι (Αρ.2) του 2018 (που στο εξής θα αναφέρονται ως «ο βασικός νόμος») και ο βασικός νόμος και ο παρών νόμος θα αναφέρονται μαζί ως οι περί Φορολογίας του Εισοδήματος Νόμοι του 2002 μέχρι (Αρ.3) του 2018.</w:t>
            </w:r>
          </w:p>
          <w:p w:rsidR="00341E02" w:rsidRPr="00CF5C09" w:rsidRDefault="00341E02" w:rsidP="00605334">
            <w:pPr>
              <w:tabs>
                <w:tab w:val="clear" w:pos="567"/>
                <w:tab w:val="left" w:pos="459"/>
              </w:tabs>
              <w:spacing w:line="360" w:lineRule="auto"/>
              <w:ind w:left="176"/>
              <w:rPr>
                <w:rFonts w:cs="Arial"/>
                <w:sz w:val="22"/>
                <w:szCs w:val="22"/>
                <w:lang w:val="el-GR"/>
              </w:rPr>
            </w:pPr>
          </w:p>
          <w:p w:rsidR="00341E02" w:rsidRPr="00CF5C09" w:rsidRDefault="00341E02" w:rsidP="00605334">
            <w:pPr>
              <w:tabs>
                <w:tab w:val="clear" w:pos="567"/>
                <w:tab w:val="left" w:pos="459"/>
              </w:tabs>
              <w:spacing w:line="360" w:lineRule="auto"/>
              <w:ind w:left="176"/>
              <w:rPr>
                <w:rFonts w:cs="Arial"/>
                <w:sz w:val="22"/>
                <w:szCs w:val="22"/>
                <w:lang w:val="el-GR"/>
              </w:rPr>
            </w:pPr>
          </w:p>
        </w:tc>
      </w:tr>
      <w:tr w:rsidR="00341E02" w:rsidRPr="00536A90" w:rsidTr="00536A90">
        <w:trPr>
          <w:trHeight w:val="2548"/>
        </w:trPr>
        <w:tc>
          <w:tcPr>
            <w:tcW w:w="2040" w:type="dxa"/>
          </w:tcPr>
          <w:p w:rsidR="002C7B1D" w:rsidRPr="00CF5C09" w:rsidRDefault="002C7B1D" w:rsidP="00CF5C09">
            <w:pPr>
              <w:spacing w:line="276" w:lineRule="auto"/>
              <w:jc w:val="left"/>
              <w:rPr>
                <w:sz w:val="20"/>
                <w:szCs w:val="20"/>
                <w:lang w:val="el-GR"/>
              </w:rPr>
            </w:pPr>
            <w:r w:rsidRPr="00CF5C09">
              <w:rPr>
                <w:sz w:val="20"/>
                <w:szCs w:val="20"/>
                <w:lang w:val="el-GR"/>
              </w:rPr>
              <w:lastRenderedPageBreak/>
              <w:t>Τροποποίηση του άρθρου 2 του βασικού νόμου.</w:t>
            </w:r>
          </w:p>
          <w:p w:rsidR="00341E02" w:rsidRPr="00CF5C09" w:rsidRDefault="00341E02" w:rsidP="00CF5C09">
            <w:pPr>
              <w:spacing w:line="276" w:lineRule="auto"/>
              <w:jc w:val="left"/>
              <w:rPr>
                <w:sz w:val="20"/>
                <w:szCs w:val="20"/>
                <w:lang w:val="el-GR"/>
              </w:rPr>
            </w:pPr>
          </w:p>
        </w:tc>
        <w:tc>
          <w:tcPr>
            <w:tcW w:w="7174" w:type="dxa"/>
          </w:tcPr>
          <w:p w:rsidR="00341E02" w:rsidRPr="00CF5C09" w:rsidRDefault="00341E02" w:rsidP="00CF5C09">
            <w:pPr>
              <w:pStyle w:val="ListParagraph"/>
              <w:numPr>
                <w:ilvl w:val="0"/>
                <w:numId w:val="10"/>
              </w:numPr>
              <w:tabs>
                <w:tab w:val="clear" w:pos="567"/>
                <w:tab w:val="clear" w:pos="4961"/>
                <w:tab w:val="left" w:pos="262"/>
                <w:tab w:val="left" w:pos="403"/>
              </w:tabs>
              <w:spacing w:line="276" w:lineRule="auto"/>
              <w:ind w:left="120" w:firstLine="0"/>
              <w:rPr>
                <w:sz w:val="22"/>
                <w:szCs w:val="22"/>
                <w:lang w:val="el-GR"/>
              </w:rPr>
            </w:pPr>
            <w:r w:rsidRPr="00CF5C09">
              <w:rPr>
                <w:sz w:val="22"/>
                <w:szCs w:val="22"/>
                <w:lang w:val="el-GR"/>
              </w:rPr>
              <w:t>Το άρθρο 2 του βασικού νόμου τροποποιείται με την  προσθήκη στην κατάλληλη αλφαβητική σειρά των ακόλουθων νέων όρων και ορισμών:</w:t>
            </w: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p>
          <w:p w:rsidR="00341E02" w:rsidRPr="00CF5C09" w:rsidRDefault="009A3A96"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w:t>
            </w:r>
            <w:r w:rsidR="00341E02" w:rsidRPr="00CF5C09">
              <w:rPr>
                <w:sz w:val="22"/>
                <w:szCs w:val="22"/>
                <w:lang w:val="el-GR"/>
              </w:rPr>
              <w:t>«αμφισβητούμενο ζήτημα» σημαίνει το θέμα το οποίο εγείρει διαφορές μεταξύ των κρατών μελών οι οποίες προκύπτουν από την ερμηνεία και την εφαρμογή συμφωνιών και συμβάσεων που προβλέπουν την εξάλειψη της διπλής φορολογίας εισοδήματος και, κατά περίπτωση, κεφαλαίου</w:t>
            </w:r>
            <w:r w:rsidR="00341E02" w:rsidRPr="00CF5C09">
              <w:rPr>
                <w:rFonts w:cs="Arial"/>
                <w:sz w:val="22"/>
                <w:szCs w:val="22"/>
                <w:lang w:val="el-GR"/>
              </w:rPr>
              <w:t>·</w:t>
            </w: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«διπλή φορολογία» σημαίνει η επιβολή φόρων, από δύο ή περισσότερα  κράτη μέλη, οι οποίοι καλύπτονται από συμφωνία ή σύμβαση, επί του ίδιου φορολογητέου εισοδήματος ή κεφαλαίου, όταν αυτή επιφέρει-</w:t>
            </w:r>
          </w:p>
          <w:p w:rsidR="00341E02" w:rsidRPr="00CF5C09" w:rsidRDefault="00341E02" w:rsidP="00CF5C09">
            <w:pPr>
              <w:pStyle w:val="ListParagraph"/>
              <w:numPr>
                <w:ilvl w:val="0"/>
                <w:numId w:val="16"/>
              </w:numPr>
              <w:tabs>
                <w:tab w:val="left" w:pos="262"/>
                <w:tab w:val="left" w:pos="403"/>
              </w:tabs>
              <w:spacing w:line="276" w:lineRule="auto"/>
              <w:rPr>
                <w:sz w:val="22"/>
                <w:szCs w:val="22"/>
                <w:lang w:val="el-GR"/>
              </w:rPr>
            </w:pPr>
            <w:r w:rsidRPr="00CF5C09">
              <w:rPr>
                <w:sz w:val="22"/>
                <w:szCs w:val="22"/>
                <w:lang w:val="el-GR"/>
              </w:rPr>
              <w:t>πρόσθετη φορολογική επιβάρυνση</w:t>
            </w:r>
            <w:r w:rsidR="00CF5C09">
              <w:rPr>
                <w:sz w:val="22"/>
                <w:szCs w:val="22"/>
              </w:rPr>
              <w:t>·</w:t>
            </w:r>
            <w:r w:rsidRPr="00CF5C09">
              <w:rPr>
                <w:sz w:val="22"/>
                <w:szCs w:val="22"/>
                <w:lang w:val="el-GR"/>
              </w:rPr>
              <w:t xml:space="preserve"> </w:t>
            </w:r>
          </w:p>
          <w:p w:rsidR="00341E02" w:rsidRPr="00CF5C09" w:rsidRDefault="00341E02" w:rsidP="00CF5C09">
            <w:pPr>
              <w:pStyle w:val="ListParagraph"/>
              <w:numPr>
                <w:ilvl w:val="0"/>
                <w:numId w:val="16"/>
              </w:numPr>
              <w:tabs>
                <w:tab w:val="left" w:pos="262"/>
                <w:tab w:val="left" w:pos="403"/>
              </w:tabs>
              <w:spacing w:line="276" w:lineRule="auto"/>
              <w:rPr>
                <w:sz w:val="22"/>
                <w:szCs w:val="22"/>
                <w:lang w:val="el-GR"/>
              </w:rPr>
            </w:pPr>
            <w:r w:rsidRPr="00CF5C09">
              <w:rPr>
                <w:sz w:val="22"/>
                <w:szCs w:val="22"/>
                <w:lang w:val="el-GR"/>
              </w:rPr>
              <w:t>αύξηση φορολογικών υποχρεώσεων</w:t>
            </w:r>
            <w:r w:rsidR="00CF5C09">
              <w:rPr>
                <w:sz w:val="22"/>
                <w:szCs w:val="22"/>
              </w:rPr>
              <w:t>·</w:t>
            </w:r>
            <w:r w:rsidRPr="00CF5C09">
              <w:rPr>
                <w:sz w:val="22"/>
                <w:szCs w:val="22"/>
                <w:lang w:val="el-GR"/>
              </w:rPr>
              <w:t xml:space="preserve"> ή </w:t>
            </w:r>
          </w:p>
          <w:p w:rsidR="00341E02" w:rsidRPr="00CF5C09" w:rsidRDefault="00341E02" w:rsidP="00CF5C09">
            <w:pPr>
              <w:pStyle w:val="ListParagraph"/>
              <w:numPr>
                <w:ilvl w:val="0"/>
                <w:numId w:val="16"/>
              </w:numPr>
              <w:tabs>
                <w:tab w:val="left" w:pos="262"/>
                <w:tab w:val="left" w:pos="403"/>
              </w:tabs>
              <w:spacing w:line="276" w:lineRule="auto"/>
              <w:rPr>
                <w:sz w:val="22"/>
                <w:szCs w:val="22"/>
                <w:lang w:val="el-GR"/>
              </w:rPr>
            </w:pPr>
            <w:r w:rsidRPr="00CF5C09">
              <w:rPr>
                <w:sz w:val="22"/>
                <w:szCs w:val="22"/>
                <w:lang w:val="el-GR"/>
              </w:rPr>
              <w:t>ακύρωση ή μείωση ζημιών</w:t>
            </w:r>
            <w:r w:rsidR="00CF5C09" w:rsidRPr="00CF5C09">
              <w:rPr>
                <w:sz w:val="22"/>
                <w:szCs w:val="22"/>
                <w:lang w:val="el-GR"/>
              </w:rPr>
              <w:t>,</w:t>
            </w:r>
            <w:r w:rsidRPr="00CF5C09">
              <w:rPr>
                <w:sz w:val="22"/>
                <w:szCs w:val="22"/>
                <w:lang w:val="el-GR"/>
              </w:rPr>
              <w:t xml:space="preserve"> οι οποίες θα μπορούσαν να χρησιμοποιηθούν για την α</w:t>
            </w:r>
            <w:r w:rsidR="00CF5C09">
              <w:rPr>
                <w:sz w:val="22"/>
                <w:szCs w:val="22"/>
                <w:lang w:val="el-GR"/>
              </w:rPr>
              <w:t>ντιστάθμιση φορολογητέων κερδών</w:t>
            </w:r>
            <w:r w:rsidR="00CF5C09" w:rsidRPr="00CF5C09">
              <w:rPr>
                <w:sz w:val="22"/>
                <w:szCs w:val="22"/>
                <w:lang w:val="el-GR"/>
              </w:rPr>
              <w:t>.</w:t>
            </w:r>
          </w:p>
          <w:p w:rsidR="00341E02" w:rsidRPr="00CF5C09" w:rsidRDefault="00341E02" w:rsidP="00CF5C09">
            <w:pPr>
              <w:pStyle w:val="ListParagraph"/>
              <w:tabs>
                <w:tab w:val="left" w:pos="262"/>
                <w:tab w:val="left" w:pos="403"/>
              </w:tabs>
              <w:spacing w:line="276" w:lineRule="auto"/>
              <w:ind w:left="120"/>
              <w:rPr>
                <w:sz w:val="22"/>
                <w:szCs w:val="22"/>
                <w:lang w:val="el-GR"/>
              </w:rPr>
            </w:pPr>
          </w:p>
          <w:p w:rsidR="00341E02" w:rsidRPr="00CF5C09" w:rsidRDefault="00341E02" w:rsidP="00CF5C09">
            <w:pPr>
              <w:pStyle w:val="ListParagraph"/>
              <w:tabs>
                <w:tab w:val="left" w:pos="262"/>
                <w:tab w:val="left" w:pos="403"/>
              </w:tabs>
              <w:spacing w:line="276" w:lineRule="auto"/>
              <w:ind w:left="120"/>
              <w:rPr>
                <w:sz w:val="22"/>
                <w:szCs w:val="22"/>
                <w:lang w:val="el-GR"/>
              </w:rPr>
            </w:pPr>
            <w:r w:rsidRPr="00CF5C09">
              <w:rPr>
                <w:sz w:val="22"/>
                <w:szCs w:val="22"/>
                <w:lang w:val="el-GR"/>
              </w:rPr>
              <w:t>«θιγόμενο πρόσωπο» σημαίνει κάθε πρόσωπο το οποίο είναι κάτοικος σε κράτος μέλος και του οποίου η φορολόγηση επηρεάζεται άμεσα από αμφισβητούμενο ζήτημα».</w:t>
            </w: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p>
        </w:tc>
      </w:tr>
      <w:tr w:rsidR="00341E02" w:rsidRPr="00536A90" w:rsidTr="00536A90">
        <w:trPr>
          <w:trHeight w:val="1560"/>
        </w:trPr>
        <w:tc>
          <w:tcPr>
            <w:tcW w:w="2040" w:type="dxa"/>
          </w:tcPr>
          <w:p w:rsidR="00341E02" w:rsidRPr="00CF5C09" w:rsidRDefault="002C7B1D" w:rsidP="00CF5C09">
            <w:pPr>
              <w:spacing w:line="276" w:lineRule="auto"/>
              <w:jc w:val="left"/>
              <w:rPr>
                <w:sz w:val="20"/>
                <w:szCs w:val="20"/>
                <w:lang w:val="el-GR"/>
              </w:rPr>
            </w:pPr>
            <w:r w:rsidRPr="00CF5C09">
              <w:rPr>
                <w:sz w:val="20"/>
                <w:szCs w:val="20"/>
                <w:lang w:val="el-GR"/>
              </w:rPr>
              <w:t>Προσθήκη των νέων άρθρων 36Α και 36Β στο βασικό νόμο.</w:t>
            </w:r>
          </w:p>
          <w:p w:rsidR="002C7B1D" w:rsidRPr="00CF5C09" w:rsidRDefault="002C7B1D"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p>
          <w:p w:rsidR="00341E02" w:rsidRPr="00CF5C09" w:rsidRDefault="00341E02"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p>
          <w:p w:rsidR="00FF7C6C" w:rsidRPr="00CF5C09" w:rsidRDefault="00FF7C6C" w:rsidP="00CF5C09">
            <w:pPr>
              <w:spacing w:line="276" w:lineRule="auto"/>
              <w:jc w:val="left"/>
              <w:rPr>
                <w:sz w:val="20"/>
                <w:szCs w:val="20"/>
                <w:lang w:val="el-GR"/>
              </w:rPr>
            </w:pPr>
          </w:p>
          <w:p w:rsidR="00FF7C6C" w:rsidRPr="00CF5C09" w:rsidRDefault="00FF7C6C" w:rsidP="00CF5C09">
            <w:pPr>
              <w:spacing w:line="276" w:lineRule="auto"/>
              <w:jc w:val="left"/>
              <w:rPr>
                <w:sz w:val="20"/>
                <w:szCs w:val="20"/>
                <w:lang w:val="el-GR"/>
              </w:rPr>
            </w:pPr>
          </w:p>
          <w:p w:rsidR="009A3A96" w:rsidRPr="00CF5C09" w:rsidRDefault="009A3A96" w:rsidP="00CF5C09">
            <w:pPr>
              <w:spacing w:line="276" w:lineRule="auto"/>
              <w:jc w:val="left"/>
              <w:rPr>
                <w:sz w:val="20"/>
                <w:szCs w:val="20"/>
                <w:lang w:val="el-GR"/>
              </w:rPr>
            </w:pPr>
            <w:r w:rsidRPr="00CF5C09">
              <w:rPr>
                <w:sz w:val="20"/>
                <w:szCs w:val="20"/>
                <w:lang w:val="el-GR"/>
              </w:rPr>
              <w:t>Υποβολή ένστασης επί αμφισβητούμενου ζητήματος.</w:t>
            </w:r>
          </w:p>
          <w:p w:rsidR="009A3A96" w:rsidRPr="00CF5C09" w:rsidRDefault="009A3A96" w:rsidP="00CF5C09">
            <w:pPr>
              <w:spacing w:line="276" w:lineRule="auto"/>
              <w:jc w:val="left"/>
              <w:rPr>
                <w:sz w:val="20"/>
                <w:szCs w:val="20"/>
                <w:lang w:val="el-GR"/>
              </w:rPr>
            </w:pPr>
          </w:p>
          <w:p w:rsidR="009A3A96" w:rsidRPr="00E27E07" w:rsidRDefault="009A3A96" w:rsidP="00CF5C09">
            <w:pPr>
              <w:spacing w:line="276" w:lineRule="auto"/>
              <w:jc w:val="left"/>
              <w:rPr>
                <w:lang w:val="el-GR"/>
              </w:rPr>
            </w:pPr>
            <w:r w:rsidRPr="00CF5C09">
              <w:rPr>
                <w:sz w:val="20"/>
                <w:szCs w:val="20"/>
                <w:lang w:val="el-GR"/>
              </w:rPr>
              <w:t xml:space="preserve">Διαδικασία υποβολής και εξέτασης ένστασης. </w:t>
            </w:r>
          </w:p>
        </w:tc>
        <w:tc>
          <w:tcPr>
            <w:tcW w:w="7174" w:type="dxa"/>
          </w:tcPr>
          <w:p w:rsidR="00341E02" w:rsidRPr="00CF5C09" w:rsidRDefault="00341E02" w:rsidP="00CF5C09">
            <w:pPr>
              <w:pStyle w:val="ListParagraph"/>
              <w:numPr>
                <w:ilvl w:val="0"/>
                <w:numId w:val="10"/>
              </w:numPr>
              <w:tabs>
                <w:tab w:val="clear" w:pos="567"/>
                <w:tab w:val="clear" w:pos="4961"/>
                <w:tab w:val="left" w:pos="262"/>
                <w:tab w:val="left" w:pos="403"/>
              </w:tabs>
              <w:spacing w:line="276" w:lineRule="auto"/>
              <w:ind w:left="120" w:firstLine="0"/>
              <w:rPr>
                <w:sz w:val="22"/>
                <w:szCs w:val="22"/>
                <w:lang w:val="el-GR"/>
              </w:rPr>
            </w:pPr>
            <w:r w:rsidRPr="00CF5C09">
              <w:rPr>
                <w:sz w:val="22"/>
                <w:szCs w:val="22"/>
                <w:lang w:val="el-GR"/>
              </w:rPr>
              <w:t>Τα Μέρη ΙΧ, Χ, ΧΙ του βασικού νόμου αναριθμούνται σε Χ, ΧΙ, ΧΙΙ αντίστοιχα και προστίθεται το νέο Μέρος ΙΧ στο οποίο περιλαμβάνονται τα νέα άρθρα 36Α και 36Β ως ακολούθως:</w:t>
            </w:r>
          </w:p>
          <w:p w:rsidR="00341E02" w:rsidRPr="00CF5C09" w:rsidRDefault="00341E02" w:rsidP="00CF5C09">
            <w:pPr>
              <w:tabs>
                <w:tab w:val="clear" w:pos="567"/>
                <w:tab w:val="clear" w:pos="4961"/>
                <w:tab w:val="left" w:pos="262"/>
                <w:tab w:val="left" w:pos="403"/>
              </w:tabs>
              <w:spacing w:line="276" w:lineRule="auto"/>
              <w:ind w:left="120"/>
              <w:rPr>
                <w:sz w:val="22"/>
                <w:szCs w:val="22"/>
                <w:lang w:val="el-GR"/>
              </w:rPr>
            </w:pPr>
          </w:p>
          <w:p w:rsidR="002C7B1D" w:rsidRPr="00CF5C09" w:rsidRDefault="002C7B1D" w:rsidP="00CF5C09">
            <w:pPr>
              <w:tabs>
                <w:tab w:val="clear" w:pos="567"/>
                <w:tab w:val="clear" w:pos="4961"/>
                <w:tab w:val="left" w:pos="262"/>
                <w:tab w:val="left" w:pos="403"/>
              </w:tabs>
              <w:spacing w:line="276" w:lineRule="auto"/>
              <w:ind w:left="120"/>
              <w:rPr>
                <w:sz w:val="22"/>
                <w:szCs w:val="22"/>
                <w:lang w:val="el-GR"/>
              </w:rPr>
            </w:pPr>
          </w:p>
          <w:p w:rsidR="009A3A96" w:rsidRPr="00CF5C09" w:rsidRDefault="009A3A96" w:rsidP="00CF5C09">
            <w:pPr>
              <w:spacing w:line="276" w:lineRule="auto"/>
              <w:jc w:val="center"/>
              <w:rPr>
                <w:sz w:val="22"/>
                <w:szCs w:val="22"/>
                <w:lang w:val="el-GR"/>
              </w:rPr>
            </w:pPr>
            <w:r w:rsidRPr="00CF5C09">
              <w:rPr>
                <w:sz w:val="22"/>
                <w:szCs w:val="22"/>
                <w:lang w:val="el-GR"/>
              </w:rPr>
              <w:t>«ΜΕΡΟΣ ΙΧ</w:t>
            </w:r>
          </w:p>
          <w:p w:rsidR="009A3A96" w:rsidRPr="00CF5C09" w:rsidRDefault="009A3A96" w:rsidP="00CF5C09">
            <w:pPr>
              <w:spacing w:line="276" w:lineRule="auto"/>
              <w:jc w:val="center"/>
              <w:rPr>
                <w:caps/>
                <w:sz w:val="22"/>
                <w:szCs w:val="22"/>
                <w:lang w:val="el-GR"/>
              </w:rPr>
            </w:pPr>
            <w:r w:rsidRPr="00CF5C09">
              <w:rPr>
                <w:caps/>
                <w:sz w:val="22"/>
                <w:szCs w:val="22"/>
                <w:lang w:val="el-GR"/>
              </w:rPr>
              <w:t xml:space="preserve">Μηχανισμός επίλυσης διαφορών μεταξύ κρατών μελών οι οποίες προκύπτουν από την ερμηνεία και την εφαρμογή συμφωνιών και συμβάσεων που προβλέπουν την εξάλειψη της διπλής φορολογίας </w:t>
            </w:r>
            <w:r w:rsidR="002237CC" w:rsidRPr="00CF5C09">
              <w:rPr>
                <w:caps/>
                <w:sz w:val="22"/>
                <w:szCs w:val="22"/>
                <w:lang w:val="el-GR"/>
              </w:rPr>
              <w:t>εισοδήματος Ή</w:t>
            </w:r>
            <w:r w:rsidRPr="00CF5C09">
              <w:rPr>
                <w:caps/>
                <w:sz w:val="22"/>
                <w:szCs w:val="22"/>
                <w:lang w:val="el-GR"/>
              </w:rPr>
              <w:t xml:space="preserve"> κεφαλαίου</w:t>
            </w:r>
          </w:p>
          <w:p w:rsidR="009A3A96" w:rsidRPr="00CF5C09" w:rsidRDefault="009A3A96" w:rsidP="00CF5C09">
            <w:pPr>
              <w:spacing w:line="276" w:lineRule="auto"/>
              <w:jc w:val="center"/>
              <w:rPr>
                <w:sz w:val="22"/>
                <w:szCs w:val="22"/>
                <w:lang w:val="el-GR"/>
              </w:rPr>
            </w:pPr>
          </w:p>
          <w:p w:rsidR="00341E02" w:rsidRPr="00CF5C09" w:rsidRDefault="00341E02" w:rsidP="00CF5C09">
            <w:pPr>
              <w:tabs>
                <w:tab w:val="clear" w:pos="567"/>
                <w:tab w:val="clear" w:pos="4961"/>
                <w:tab w:val="left" w:pos="262"/>
                <w:tab w:val="left" w:pos="403"/>
              </w:tabs>
              <w:spacing w:line="276" w:lineRule="auto"/>
              <w:ind w:left="120"/>
              <w:rPr>
                <w:sz w:val="22"/>
                <w:szCs w:val="22"/>
                <w:lang w:val="el-GR"/>
              </w:rPr>
            </w:pPr>
            <w:r w:rsidRPr="00CF5C09">
              <w:rPr>
                <w:sz w:val="22"/>
                <w:szCs w:val="22"/>
                <w:lang w:val="el-GR"/>
              </w:rPr>
              <w:t>36Α. Ανεξάρτητα από οποιαδήποτε άλλη διάταξη του παρόντος Νόμου</w:t>
            </w:r>
            <w:r w:rsidR="00FF7C6C" w:rsidRPr="00CF5C09">
              <w:rPr>
                <w:sz w:val="22"/>
                <w:szCs w:val="22"/>
                <w:lang w:val="el-GR"/>
              </w:rPr>
              <w:t>,</w:t>
            </w:r>
            <w:r w:rsidRPr="00CF5C09">
              <w:rPr>
                <w:sz w:val="22"/>
                <w:szCs w:val="22"/>
                <w:lang w:val="el-GR"/>
              </w:rPr>
              <w:t xml:space="preserve"> θιγόμενο πρόσωπο μπορεί να υποβάλει έν</w:t>
            </w:r>
            <w:r w:rsidR="001F20AF" w:rsidRPr="00CF5C09">
              <w:rPr>
                <w:sz w:val="22"/>
                <w:szCs w:val="22"/>
                <w:lang w:val="el-GR"/>
              </w:rPr>
              <w:t>σ</w:t>
            </w:r>
            <w:r w:rsidRPr="00CF5C09">
              <w:rPr>
                <w:sz w:val="22"/>
                <w:szCs w:val="22"/>
                <w:lang w:val="el-GR"/>
              </w:rPr>
              <w:t xml:space="preserve">ταση επί αμφισβητούμενου ζητήματος στον Έφορο Φορολογίας. </w:t>
            </w:r>
          </w:p>
          <w:p w:rsidR="00341E02" w:rsidRPr="00CF5C09" w:rsidRDefault="00341E02" w:rsidP="00CF5C09">
            <w:pPr>
              <w:tabs>
                <w:tab w:val="clear" w:pos="567"/>
                <w:tab w:val="clear" w:pos="4961"/>
                <w:tab w:val="left" w:pos="262"/>
                <w:tab w:val="left" w:pos="403"/>
              </w:tabs>
              <w:spacing w:line="276" w:lineRule="auto"/>
              <w:ind w:left="120"/>
              <w:rPr>
                <w:sz w:val="22"/>
                <w:szCs w:val="22"/>
                <w:lang w:val="el-GR"/>
              </w:rPr>
            </w:pP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 xml:space="preserve">36Β.(1) Η ένσταση με βάση το άρθρο </w:t>
            </w:r>
            <w:r w:rsidR="006B1E95" w:rsidRPr="00CF5C09">
              <w:rPr>
                <w:sz w:val="22"/>
                <w:szCs w:val="22"/>
                <w:lang w:val="el-GR"/>
              </w:rPr>
              <w:t>36Α</w:t>
            </w:r>
            <w:r w:rsidRPr="00CF5C09">
              <w:rPr>
                <w:sz w:val="22"/>
                <w:szCs w:val="22"/>
                <w:lang w:val="el-GR"/>
              </w:rPr>
              <w:t xml:space="preserve"> μπορεί να υποβληθεί εντός τριών ετών από την παραλαβή της πρώτης κοινοποίησης του μέτρου το οποίο εγείρει ή θα εγείρει αμφισβητούμενο ζήτημα, ανεξάρτητα εάν το θιγόμενο πρόσωπο έχει κάνει χρήση των μέσων θεραπείας που προβλέπονται από το εθνικό δίκαιο οποιουδήποτε εκ των ενδιαφερόμενων κρατών μελών.</w:t>
            </w: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(2) Το θιγόμενο πρόσωπο υποβάλλει την ένσταση με τις ίδιες πληροφορίες ταυτόχρονα σε όλες τις αρμόδιες αρχές</w:t>
            </w:r>
            <w:r w:rsidR="002237CC" w:rsidRPr="00CF5C09">
              <w:rPr>
                <w:sz w:val="22"/>
                <w:szCs w:val="22"/>
                <w:lang w:val="el-GR"/>
              </w:rPr>
              <w:t xml:space="preserve"> των </w:t>
            </w:r>
            <w:r w:rsidR="002237CC" w:rsidRPr="00CF5C09">
              <w:rPr>
                <w:sz w:val="22"/>
                <w:szCs w:val="22"/>
                <w:lang w:val="el-GR"/>
              </w:rPr>
              <w:lastRenderedPageBreak/>
              <w:t xml:space="preserve">ενδιαφερόμενων κρατών μελών </w:t>
            </w:r>
            <w:r w:rsidRPr="00CF5C09">
              <w:rPr>
                <w:sz w:val="22"/>
                <w:szCs w:val="22"/>
                <w:lang w:val="el-GR"/>
              </w:rPr>
              <w:t xml:space="preserve"> και ορίζει σε αυτήν ποια άλλα κράτη μέλη αφορά η υπόθεση.</w:t>
            </w:r>
          </w:p>
          <w:p w:rsidR="00962E4C" w:rsidRPr="00CF5C09" w:rsidRDefault="00962E4C" w:rsidP="00CF5C09">
            <w:pPr>
              <w:tabs>
                <w:tab w:val="clear" w:pos="567"/>
                <w:tab w:val="clear" w:pos="4961"/>
                <w:tab w:val="left" w:pos="262"/>
                <w:tab w:val="left" w:pos="403"/>
              </w:tabs>
              <w:spacing w:line="276" w:lineRule="auto"/>
              <w:rPr>
                <w:sz w:val="22"/>
                <w:szCs w:val="22"/>
                <w:lang w:val="el-GR"/>
              </w:rPr>
            </w:pPr>
          </w:p>
          <w:p w:rsidR="00341E02" w:rsidRPr="00CF5C09" w:rsidRDefault="00962E4C" w:rsidP="00CF5C09">
            <w:pPr>
              <w:tabs>
                <w:tab w:val="clear" w:pos="567"/>
                <w:tab w:val="clear" w:pos="4961"/>
                <w:tab w:val="left" w:pos="190"/>
                <w:tab w:val="left" w:pos="403"/>
              </w:tabs>
              <w:spacing w:line="276" w:lineRule="auto"/>
              <w:ind w:left="48"/>
              <w:rPr>
                <w:sz w:val="22"/>
                <w:szCs w:val="22"/>
                <w:lang w:val="el-GR"/>
              </w:rPr>
            </w:pPr>
            <w:r w:rsidRPr="00CF5C09">
              <w:rPr>
                <w:sz w:val="22"/>
                <w:szCs w:val="22"/>
                <w:lang w:val="el-GR"/>
              </w:rPr>
              <w:t>(3) Ο Έφορος δέχεται τις ενστάσεις σε ελληνική ή αγγλική γλώσσα.</w:t>
            </w:r>
          </w:p>
          <w:p w:rsidR="00962E4C" w:rsidRPr="00CF5C09" w:rsidRDefault="00962E4C" w:rsidP="00CF5C09">
            <w:pPr>
              <w:tabs>
                <w:tab w:val="clear" w:pos="567"/>
                <w:tab w:val="clear" w:pos="4961"/>
                <w:tab w:val="left" w:pos="48"/>
                <w:tab w:val="left" w:pos="403"/>
              </w:tabs>
              <w:spacing w:line="276" w:lineRule="auto"/>
              <w:ind w:left="190"/>
              <w:rPr>
                <w:sz w:val="22"/>
                <w:szCs w:val="22"/>
                <w:lang w:val="el-GR"/>
              </w:rPr>
            </w:pP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w:t>
            </w:r>
            <w:r w:rsidR="00962E4C" w:rsidRPr="00CF5C09">
              <w:rPr>
                <w:sz w:val="22"/>
                <w:szCs w:val="22"/>
                <w:lang w:val="el-GR"/>
              </w:rPr>
              <w:t>4</w:t>
            </w:r>
            <w:r w:rsidRPr="00CF5C09">
              <w:rPr>
                <w:sz w:val="22"/>
                <w:szCs w:val="22"/>
                <w:lang w:val="el-GR"/>
              </w:rPr>
              <w:t xml:space="preserve">) </w:t>
            </w:r>
            <w:r w:rsidR="002237CC" w:rsidRPr="00CF5C09">
              <w:rPr>
                <w:sz w:val="22"/>
                <w:szCs w:val="22"/>
                <w:lang w:val="el-GR"/>
              </w:rPr>
              <w:t>Ο</w:t>
            </w:r>
            <w:r w:rsidRPr="00CF5C09">
              <w:rPr>
                <w:sz w:val="22"/>
                <w:szCs w:val="22"/>
                <w:lang w:val="el-GR"/>
              </w:rPr>
              <w:t xml:space="preserve"> Έφορος </w:t>
            </w:r>
            <w:r w:rsidR="00962E4C" w:rsidRPr="00CF5C09">
              <w:rPr>
                <w:sz w:val="22"/>
                <w:szCs w:val="22"/>
                <w:lang w:val="el-GR"/>
              </w:rPr>
              <w:t>β</w:t>
            </w:r>
            <w:r w:rsidRPr="00CF5C09">
              <w:rPr>
                <w:sz w:val="22"/>
                <w:szCs w:val="22"/>
                <w:lang w:val="el-GR"/>
              </w:rPr>
              <w:t xml:space="preserve">εβαιώνει </w:t>
            </w:r>
            <w:r w:rsidR="006A049F" w:rsidRPr="00CF5C09">
              <w:rPr>
                <w:sz w:val="22"/>
                <w:szCs w:val="22"/>
                <w:lang w:val="el-GR"/>
              </w:rPr>
              <w:t xml:space="preserve">το θιγόμενο πρόσωπο και τις αρμόδιες αρχές των άλλων ενδιαφερόμενων κρατών μελών </w:t>
            </w:r>
            <w:r w:rsidR="002237CC" w:rsidRPr="00CF5C09">
              <w:rPr>
                <w:sz w:val="22"/>
                <w:szCs w:val="22"/>
                <w:lang w:val="el-GR"/>
              </w:rPr>
              <w:t xml:space="preserve">ότι παρέλαβε </w:t>
            </w:r>
            <w:r w:rsidRPr="00CF5C09">
              <w:rPr>
                <w:sz w:val="22"/>
                <w:szCs w:val="22"/>
                <w:lang w:val="el-GR"/>
              </w:rPr>
              <w:t>την</w:t>
            </w:r>
            <w:r w:rsidR="002237CC" w:rsidRPr="00CF5C09">
              <w:rPr>
                <w:sz w:val="22"/>
                <w:szCs w:val="22"/>
                <w:lang w:val="el-GR"/>
              </w:rPr>
              <w:t xml:space="preserve"> </w:t>
            </w:r>
            <w:r w:rsidRPr="00CF5C09">
              <w:rPr>
                <w:sz w:val="22"/>
                <w:szCs w:val="22"/>
                <w:lang w:val="el-GR"/>
              </w:rPr>
              <w:t xml:space="preserve">ένσταση εντός δύο μηνών από την παραλαβή </w:t>
            </w:r>
            <w:r w:rsidR="006A049F" w:rsidRPr="00CF5C09">
              <w:rPr>
                <w:sz w:val="22"/>
                <w:szCs w:val="22"/>
                <w:lang w:val="el-GR"/>
              </w:rPr>
              <w:t>της</w:t>
            </w:r>
            <w:r w:rsidR="00962E4C" w:rsidRPr="00CF5C09">
              <w:rPr>
                <w:sz w:val="22"/>
                <w:szCs w:val="22"/>
                <w:lang w:val="el-GR"/>
              </w:rPr>
              <w:t xml:space="preserve"> και επιπλέον ενημερώνει τις αρμόδιες αρχές </w:t>
            </w:r>
            <w:r w:rsidR="006A049F" w:rsidRPr="00CF5C09">
              <w:rPr>
                <w:sz w:val="22"/>
                <w:szCs w:val="22"/>
                <w:lang w:val="el-GR"/>
              </w:rPr>
              <w:t>σχετικά με τη γλώσσα ή τις γλώσσες που σκοπεύει</w:t>
            </w:r>
            <w:r w:rsidR="00962E4C" w:rsidRPr="00CF5C09">
              <w:rPr>
                <w:sz w:val="22"/>
                <w:szCs w:val="22"/>
                <w:lang w:val="el-GR"/>
              </w:rPr>
              <w:t xml:space="preserve"> </w:t>
            </w:r>
            <w:r w:rsidR="006A049F" w:rsidRPr="00CF5C09">
              <w:rPr>
                <w:sz w:val="22"/>
                <w:szCs w:val="22"/>
                <w:lang w:val="el-GR"/>
              </w:rPr>
              <w:t xml:space="preserve">να </w:t>
            </w:r>
            <w:r w:rsidR="00962E4C" w:rsidRPr="00CF5C09">
              <w:rPr>
                <w:sz w:val="22"/>
                <w:szCs w:val="22"/>
                <w:lang w:val="el-GR"/>
              </w:rPr>
              <w:t xml:space="preserve">χρησιμοποιήσει </w:t>
            </w:r>
            <w:r w:rsidR="006A049F" w:rsidRPr="00CF5C09">
              <w:rPr>
                <w:sz w:val="22"/>
                <w:szCs w:val="22"/>
                <w:lang w:val="el-GR"/>
              </w:rPr>
              <w:t>για την επικοινωνία τους κατά τη διάρκεια της διαδικασίας.</w:t>
            </w: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p>
          <w:p w:rsidR="00341E02"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w:t>
            </w:r>
            <w:r w:rsidR="00962E4C" w:rsidRPr="00CF5C09">
              <w:rPr>
                <w:sz w:val="22"/>
                <w:szCs w:val="22"/>
                <w:lang w:val="el-GR"/>
              </w:rPr>
              <w:t>5</w:t>
            </w:r>
            <w:r w:rsidRPr="00CF5C09">
              <w:rPr>
                <w:sz w:val="22"/>
                <w:szCs w:val="22"/>
                <w:lang w:val="el-GR"/>
              </w:rPr>
              <w:t xml:space="preserve">) </w:t>
            </w:r>
            <w:r w:rsidR="00A61315" w:rsidRPr="00CF5C09">
              <w:rPr>
                <w:sz w:val="22"/>
                <w:szCs w:val="22"/>
                <w:lang w:val="el-GR"/>
              </w:rPr>
              <w:t xml:space="preserve">(α) </w:t>
            </w:r>
            <w:r w:rsidRPr="00CF5C09">
              <w:rPr>
                <w:sz w:val="22"/>
                <w:szCs w:val="22"/>
                <w:lang w:val="el-GR"/>
              </w:rPr>
              <w:t>Ο Έφορος Φορολογίας αποφασίζει σχετικά με την αποδοχή ή την απόρριψη της ένστασης εντός έξι μηνών από την παραλαβή της ή εντός έξι μηνών από την παραλαβή οποιασδήποτε συγκεκριμένης πρόσθετης πληροφορίας ζητήσει η οποία θεωρείται αναγκαία για την επί της ουσίας εξέταση της συγκεκριμένης υπόθεσης, ανάλογα με το ποια ημερομηνία είναι μεταγενέστερη και ενημερώνει αμελλητί τα θιγόμενα πρόσωπα και τις αρμόδιες αρχές των άλλων κρατών μελών σχετικά με την απόφασή του.</w:t>
            </w:r>
          </w:p>
          <w:p w:rsidR="00A61315" w:rsidRPr="00CF5C09" w:rsidRDefault="00A61315" w:rsidP="00CF5C09">
            <w:pPr>
              <w:pStyle w:val="ListParagraph"/>
              <w:tabs>
                <w:tab w:val="clear" w:pos="567"/>
                <w:tab w:val="clear" w:pos="4961"/>
                <w:tab w:val="left" w:pos="262"/>
                <w:tab w:val="left" w:pos="403"/>
              </w:tabs>
              <w:spacing w:line="276" w:lineRule="auto"/>
              <w:ind w:left="120"/>
              <w:rPr>
                <w:sz w:val="22"/>
                <w:szCs w:val="22"/>
                <w:lang w:val="el-GR"/>
              </w:rPr>
            </w:pPr>
          </w:p>
          <w:p w:rsidR="00A61315" w:rsidRPr="00CF5C09" w:rsidRDefault="00A61315"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(β) Ο Έφορος Φορολογίας δύναται να αποφασίσει εντός έξι μηνών από την παραλαβή της έντασης ή εντός έξι μηνών από την παραλαβή οποιασδήποτε συγκεκριμένης πρόσθετης πληροφορίας ζητήσει η οποία θεωρείται αναγκαία για την επί της ουσίας εξέταση της συγκεκριμένης υπόθεσης, ανάλογα με το ποια ημερομηνία είναι μεταγενέστερη, να επιλύσει το αμφισβ</w:t>
            </w:r>
            <w:r w:rsidR="00465E42" w:rsidRPr="00CF5C09">
              <w:rPr>
                <w:sz w:val="22"/>
                <w:szCs w:val="22"/>
                <w:lang w:val="el-GR"/>
              </w:rPr>
              <w:t xml:space="preserve">ητούμενο </w:t>
            </w:r>
            <w:r w:rsidRPr="00CF5C09">
              <w:rPr>
                <w:sz w:val="22"/>
                <w:szCs w:val="22"/>
                <w:lang w:val="el-GR"/>
              </w:rPr>
              <w:t>ζήτημα σε μονομερή β</w:t>
            </w:r>
            <w:r w:rsidR="00465E42" w:rsidRPr="00CF5C09">
              <w:rPr>
                <w:sz w:val="22"/>
                <w:szCs w:val="22"/>
                <w:lang w:val="el-GR"/>
              </w:rPr>
              <w:t>άση και ενημερώνει σχετικά το θιγόμενο πρόσωπο και τις αρμόδιες αρχέ</w:t>
            </w:r>
            <w:r w:rsidRPr="00CF5C09">
              <w:rPr>
                <w:sz w:val="22"/>
                <w:szCs w:val="22"/>
                <w:lang w:val="el-GR"/>
              </w:rPr>
              <w:t>ς των άλλων κρατών μελών σχετικά με την απόφασή του.</w:t>
            </w:r>
          </w:p>
          <w:p w:rsidR="0092289A" w:rsidRPr="00CF5C09" w:rsidRDefault="0092289A" w:rsidP="00CF5C09">
            <w:pPr>
              <w:pStyle w:val="ListParagraph"/>
              <w:tabs>
                <w:tab w:val="clear" w:pos="567"/>
                <w:tab w:val="clear" w:pos="4961"/>
                <w:tab w:val="left" w:pos="262"/>
                <w:tab w:val="left" w:pos="403"/>
              </w:tabs>
              <w:spacing w:line="276" w:lineRule="auto"/>
              <w:ind w:left="120"/>
              <w:rPr>
                <w:sz w:val="22"/>
                <w:szCs w:val="22"/>
                <w:lang w:val="el-GR"/>
              </w:rPr>
            </w:pPr>
          </w:p>
          <w:p w:rsidR="0092289A" w:rsidRPr="00CF5C09" w:rsidRDefault="0092289A" w:rsidP="00CF5C09">
            <w:pPr>
              <w:spacing w:line="276" w:lineRule="auto"/>
              <w:ind w:left="48"/>
              <w:rPr>
                <w:sz w:val="22"/>
                <w:szCs w:val="22"/>
                <w:lang w:val="el-GR"/>
              </w:rPr>
            </w:pPr>
            <w:r w:rsidRPr="00CF5C09">
              <w:rPr>
                <w:sz w:val="22"/>
                <w:szCs w:val="22"/>
                <w:lang w:val="el-GR"/>
              </w:rPr>
              <w:t>(6) Εάν ο Έφορος  δεν αποφανθεί επί της ένστασης εντός της προθεσμίας που προβλέπεται στο εδάφιο (5) τότε λογίζεται ότι η ένσταση έχει γίνει δεκτή από τον Έφορο.</w:t>
            </w:r>
          </w:p>
          <w:p w:rsidR="00A61315" w:rsidRPr="00CF5C09" w:rsidRDefault="00A61315" w:rsidP="00CF5C09">
            <w:pPr>
              <w:pStyle w:val="ListParagraph"/>
              <w:tabs>
                <w:tab w:val="clear" w:pos="567"/>
                <w:tab w:val="clear" w:pos="4961"/>
                <w:tab w:val="left" w:pos="262"/>
                <w:tab w:val="left" w:pos="403"/>
              </w:tabs>
              <w:spacing w:line="276" w:lineRule="auto"/>
              <w:ind w:left="120"/>
              <w:rPr>
                <w:sz w:val="22"/>
                <w:szCs w:val="22"/>
                <w:lang w:val="el-GR"/>
              </w:rPr>
            </w:pPr>
          </w:p>
          <w:p w:rsidR="00C44AAF" w:rsidRPr="00CF5C09" w:rsidRDefault="00341E02"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w:t>
            </w:r>
            <w:r w:rsidR="0092289A" w:rsidRPr="00CF5C09">
              <w:rPr>
                <w:sz w:val="22"/>
                <w:szCs w:val="22"/>
                <w:lang w:val="el-GR"/>
              </w:rPr>
              <w:t>7</w:t>
            </w:r>
            <w:r w:rsidRPr="00CF5C09">
              <w:rPr>
                <w:sz w:val="22"/>
                <w:szCs w:val="22"/>
                <w:lang w:val="el-GR"/>
              </w:rPr>
              <w:t xml:space="preserve">) </w:t>
            </w:r>
            <w:r w:rsidR="00F9690F" w:rsidRPr="00CF5C09">
              <w:rPr>
                <w:sz w:val="22"/>
                <w:szCs w:val="22"/>
                <w:lang w:val="el-GR"/>
              </w:rPr>
              <w:t>Ο Έφορος Φορολογίας, με γνωστοποίηση του η οποία δημοσιεύεται στην Επίσημη Εφημερίδα της Δημοκρατίας, καθορίζει το έντυπο με το οποίο υποβάλλεται η ένσταση που διέπεται από τις διατάξεις του παρόντος Μέρους.</w:t>
            </w:r>
          </w:p>
          <w:p w:rsidR="00BC66FC" w:rsidRPr="00CF5C09" w:rsidRDefault="00BC66FC" w:rsidP="00CF5C09">
            <w:pPr>
              <w:pStyle w:val="ListParagraph"/>
              <w:tabs>
                <w:tab w:val="clear" w:pos="567"/>
                <w:tab w:val="clear" w:pos="4961"/>
                <w:tab w:val="left" w:pos="262"/>
                <w:tab w:val="left" w:pos="403"/>
              </w:tabs>
              <w:spacing w:line="276" w:lineRule="auto"/>
              <w:ind w:left="120"/>
              <w:rPr>
                <w:sz w:val="22"/>
                <w:szCs w:val="22"/>
                <w:lang w:val="el-GR"/>
              </w:rPr>
            </w:pPr>
          </w:p>
          <w:p w:rsidR="002A69ED" w:rsidRPr="00CF5C09" w:rsidRDefault="001F20AF" w:rsidP="00CF5C09">
            <w:pPr>
              <w:pStyle w:val="ListParagraph"/>
              <w:tabs>
                <w:tab w:val="clear" w:pos="567"/>
                <w:tab w:val="clear" w:pos="4961"/>
                <w:tab w:val="left" w:pos="262"/>
                <w:tab w:val="left" w:pos="403"/>
              </w:tabs>
              <w:spacing w:line="276" w:lineRule="auto"/>
              <w:ind w:left="120"/>
              <w:rPr>
                <w:sz w:val="22"/>
                <w:szCs w:val="22"/>
                <w:lang w:val="el-GR"/>
              </w:rPr>
            </w:pPr>
            <w:r w:rsidRPr="00CF5C09">
              <w:rPr>
                <w:sz w:val="22"/>
                <w:szCs w:val="22"/>
                <w:lang w:val="el-GR"/>
              </w:rPr>
              <w:t xml:space="preserve">(8) </w:t>
            </w:r>
            <w:r w:rsidR="00F9690F" w:rsidRPr="00CF5C09">
              <w:rPr>
                <w:sz w:val="22"/>
                <w:szCs w:val="22"/>
                <w:lang w:val="el-GR"/>
              </w:rPr>
              <w:t>Κανονισμοί που εκδίδονται από το Υπουργικό Συμβούλιο δύναται να προβλέπουν για την καλύτερη εφαρμογή των διατάξεων του παρόντος άρθρου και ειδικότερα για τον καθορισμό της διαδικασίας υποβολής και εξέτασης της έντασης.».</w:t>
            </w:r>
          </w:p>
          <w:p w:rsidR="00C44AAF" w:rsidRPr="00CF5C09" w:rsidRDefault="002A69ED" w:rsidP="00CF5C09">
            <w:pPr>
              <w:pStyle w:val="ListParagraph"/>
              <w:tabs>
                <w:tab w:val="clear" w:pos="567"/>
                <w:tab w:val="clear" w:pos="4961"/>
                <w:tab w:val="left" w:pos="262"/>
                <w:tab w:val="left" w:pos="403"/>
              </w:tabs>
              <w:spacing w:line="276" w:lineRule="auto"/>
              <w:ind w:left="120"/>
              <w:rPr>
                <w:sz w:val="22"/>
                <w:szCs w:val="22"/>
                <w:lang w:val="el-GR"/>
              </w:rPr>
            </w:pPr>
            <w:r w:rsidRPr="00CF5C09">
              <w:rPr>
                <w:b/>
                <w:bCs/>
                <w:sz w:val="22"/>
                <w:szCs w:val="22"/>
                <w:lang w:val="el-GR"/>
              </w:rPr>
              <w:t xml:space="preserve"> </w:t>
            </w:r>
            <w:r w:rsidR="001F20AF" w:rsidRPr="00CF5C09">
              <w:rPr>
                <w:sz w:val="22"/>
                <w:szCs w:val="22"/>
                <w:lang w:val="el-GR"/>
              </w:rPr>
              <w:t xml:space="preserve"> </w:t>
            </w:r>
          </w:p>
        </w:tc>
      </w:tr>
      <w:tr w:rsidR="00C44AAF" w:rsidRPr="00536A90" w:rsidTr="00536A90">
        <w:trPr>
          <w:trHeight w:val="2548"/>
        </w:trPr>
        <w:tc>
          <w:tcPr>
            <w:tcW w:w="2040" w:type="dxa"/>
          </w:tcPr>
          <w:p w:rsidR="00C44AAF" w:rsidRPr="00CF5C09" w:rsidRDefault="00C44AAF" w:rsidP="00536A90">
            <w:pPr>
              <w:spacing w:line="276" w:lineRule="auto"/>
              <w:jc w:val="left"/>
              <w:rPr>
                <w:sz w:val="20"/>
                <w:szCs w:val="20"/>
                <w:lang w:val="el-GR"/>
              </w:rPr>
            </w:pPr>
            <w:r w:rsidRPr="00CF5C09">
              <w:rPr>
                <w:sz w:val="20"/>
                <w:szCs w:val="20"/>
                <w:lang w:val="el-GR"/>
              </w:rPr>
              <w:lastRenderedPageBreak/>
              <w:t>Έναρξη ισχύος του Νόμου.</w:t>
            </w:r>
          </w:p>
        </w:tc>
        <w:tc>
          <w:tcPr>
            <w:tcW w:w="7174" w:type="dxa"/>
          </w:tcPr>
          <w:p w:rsidR="00C44AAF" w:rsidRPr="00CF5C09" w:rsidRDefault="00C44AAF" w:rsidP="00CF5C09">
            <w:pPr>
              <w:pStyle w:val="ListParagraph"/>
              <w:numPr>
                <w:ilvl w:val="0"/>
                <w:numId w:val="10"/>
              </w:numPr>
              <w:tabs>
                <w:tab w:val="clear" w:pos="567"/>
                <w:tab w:val="clear" w:pos="4961"/>
                <w:tab w:val="left" w:pos="262"/>
                <w:tab w:val="left" w:pos="403"/>
              </w:tabs>
              <w:spacing w:line="276" w:lineRule="auto"/>
              <w:ind w:left="120" w:firstLine="0"/>
              <w:rPr>
                <w:sz w:val="22"/>
                <w:szCs w:val="22"/>
                <w:lang w:val="el-GR"/>
              </w:rPr>
            </w:pPr>
            <w:r w:rsidRPr="00CF5C09">
              <w:rPr>
                <w:rFonts w:cs="Arial"/>
                <w:sz w:val="22"/>
                <w:szCs w:val="22"/>
                <w:lang w:val="el-GR"/>
              </w:rPr>
              <w:t>Ο παρόν Νόμος τίθεται σε ισχύ από την 1</w:t>
            </w:r>
            <w:r w:rsidRPr="00CF5C09">
              <w:rPr>
                <w:rFonts w:cs="Arial"/>
                <w:sz w:val="22"/>
                <w:szCs w:val="22"/>
                <w:vertAlign w:val="superscript"/>
                <w:lang w:val="el-GR"/>
              </w:rPr>
              <w:t>η</w:t>
            </w:r>
            <w:r w:rsidRPr="00CF5C09">
              <w:rPr>
                <w:rFonts w:cs="Arial"/>
                <w:sz w:val="22"/>
                <w:szCs w:val="22"/>
                <w:lang w:val="el-GR"/>
              </w:rPr>
              <w:t xml:space="preserve"> Ιουλίου 2019 και εφαρμόζεται σε κάθε ένσταση που υποβάλλεται από την 1η Ιουλίου 2019 και εξής σε αμφισβητούμενα ζητήματα που αφορούν το εισόδημα ή το κεφάλαιο που αποκτήθηκαν σε φορολογικό έτος που αρχίζει την 1η Ιανουαρίου 2018 ή μετά την ημερομηνία αυτή.</w:t>
            </w:r>
          </w:p>
          <w:p w:rsidR="0087559A" w:rsidRPr="00CF5C09" w:rsidRDefault="0087559A" w:rsidP="00CF5C09">
            <w:pPr>
              <w:pStyle w:val="ListParagraph"/>
              <w:tabs>
                <w:tab w:val="clear" w:pos="567"/>
                <w:tab w:val="clear" w:pos="4961"/>
                <w:tab w:val="left" w:pos="262"/>
                <w:tab w:val="left" w:pos="403"/>
              </w:tabs>
              <w:spacing w:line="276" w:lineRule="auto"/>
              <w:ind w:left="120"/>
              <w:rPr>
                <w:sz w:val="22"/>
                <w:szCs w:val="22"/>
                <w:lang w:val="el-GR"/>
              </w:rPr>
            </w:pPr>
          </w:p>
          <w:p w:rsidR="0087559A" w:rsidRPr="0087559A" w:rsidRDefault="0087559A" w:rsidP="00CF5C09">
            <w:pPr>
              <w:tabs>
                <w:tab w:val="clear" w:pos="567"/>
                <w:tab w:val="clear" w:pos="4961"/>
                <w:tab w:val="left" w:pos="262"/>
                <w:tab w:val="left" w:pos="403"/>
              </w:tabs>
              <w:spacing w:line="276" w:lineRule="auto"/>
              <w:rPr>
                <w:lang w:val="el-GR"/>
              </w:rPr>
            </w:pPr>
            <w:r w:rsidRPr="00CF5C09">
              <w:rPr>
                <w:sz w:val="22"/>
                <w:szCs w:val="22"/>
                <w:lang w:val="el-GR"/>
              </w:rPr>
              <w:t>Νοείται ότι οι αρμόδιες αρχές των ενδιαφερόμενων κρατών μελών μπορούν να συμφωνήσουν να εφαρμόζουν το μηχανισμό επίλυσης διαφορών που προνοείται στον παρόντα Νόμο όσον αφορά κάθε ένσταση που υποβλήθηκε την 1</w:t>
            </w:r>
            <w:r w:rsidRPr="00CF5C09">
              <w:rPr>
                <w:sz w:val="22"/>
                <w:szCs w:val="22"/>
                <w:vertAlign w:val="superscript"/>
                <w:lang w:val="el-GR"/>
              </w:rPr>
              <w:t>η</w:t>
            </w:r>
            <w:r w:rsidRPr="00CF5C09">
              <w:rPr>
                <w:sz w:val="22"/>
                <w:szCs w:val="22"/>
                <w:lang w:val="el-GR"/>
              </w:rPr>
              <w:t xml:space="preserve"> Ιουλίου 2019.</w:t>
            </w:r>
          </w:p>
        </w:tc>
      </w:tr>
    </w:tbl>
    <w:p w:rsidR="003F55D5" w:rsidRDefault="003F55D5" w:rsidP="00735E0E">
      <w:pPr>
        <w:widowControl/>
        <w:tabs>
          <w:tab w:val="clear" w:pos="567"/>
          <w:tab w:val="clear" w:pos="4961"/>
        </w:tabs>
        <w:spacing w:line="240" w:lineRule="auto"/>
        <w:jc w:val="center"/>
        <w:rPr>
          <w:rFonts w:cs="Arial"/>
          <w:b/>
          <w:u w:val="single"/>
          <w:lang w:val="el-GR"/>
        </w:rPr>
      </w:pPr>
    </w:p>
    <w:p w:rsidR="003F55D5" w:rsidRDefault="003F55D5">
      <w:pPr>
        <w:widowControl/>
        <w:tabs>
          <w:tab w:val="clear" w:pos="567"/>
          <w:tab w:val="clear" w:pos="4961"/>
        </w:tabs>
        <w:spacing w:line="240" w:lineRule="auto"/>
        <w:jc w:val="left"/>
        <w:rPr>
          <w:rFonts w:cs="Arial"/>
          <w:b/>
          <w:u w:val="single"/>
          <w:lang w:val="el-GR"/>
        </w:rPr>
      </w:pPr>
      <w:r>
        <w:rPr>
          <w:rFonts w:cs="Arial"/>
          <w:b/>
          <w:u w:val="single"/>
          <w:lang w:val="el-GR"/>
        </w:rPr>
        <w:br w:type="page"/>
      </w:r>
    </w:p>
    <w:p w:rsidR="00E27E07" w:rsidRPr="00AA7197" w:rsidRDefault="00E27E07" w:rsidP="00735E0E">
      <w:pPr>
        <w:widowControl/>
        <w:tabs>
          <w:tab w:val="clear" w:pos="567"/>
          <w:tab w:val="clear" w:pos="4961"/>
        </w:tabs>
        <w:spacing w:line="240" w:lineRule="auto"/>
        <w:jc w:val="center"/>
        <w:rPr>
          <w:rFonts w:cs="Arial"/>
          <w:b/>
          <w:u w:val="single"/>
          <w:lang w:val="el-GR"/>
        </w:rPr>
      </w:pPr>
      <w:r w:rsidRPr="00E27E07">
        <w:rPr>
          <w:rFonts w:cs="Arial"/>
          <w:b/>
          <w:u w:val="single"/>
          <w:lang w:val="el-GR"/>
        </w:rPr>
        <w:t>ΑΙΤΙΟΛΟΓΙΚΗ ΕΚΘΕΣΗ</w:t>
      </w:r>
    </w:p>
    <w:p w:rsidR="000C13DE" w:rsidRPr="0058502A" w:rsidRDefault="000C13DE" w:rsidP="006A7D79">
      <w:pPr>
        <w:spacing w:before="120" w:line="360" w:lineRule="auto"/>
        <w:ind w:left="448"/>
        <w:rPr>
          <w:rFonts w:cs="Arial"/>
          <w:sz w:val="22"/>
          <w:szCs w:val="22"/>
          <w:lang w:val="el-GR"/>
        </w:rPr>
      </w:pPr>
      <w:r w:rsidRPr="000C13DE">
        <w:rPr>
          <w:rFonts w:cs="Arial"/>
          <w:sz w:val="22"/>
          <w:szCs w:val="22"/>
          <w:lang w:val="el-GR"/>
        </w:rPr>
        <w:t>Σκοπός το</w:t>
      </w:r>
      <w:r w:rsidR="003F55D5">
        <w:rPr>
          <w:rFonts w:cs="Arial"/>
          <w:sz w:val="22"/>
          <w:szCs w:val="22"/>
          <w:lang w:val="el-GR"/>
        </w:rPr>
        <w:t>υ παρόντος νομοσχεδίου είναι η μεταφορά της Οδηγίας (ΕΕ) 2017</w:t>
      </w:r>
      <w:r w:rsidR="00C44545">
        <w:rPr>
          <w:rFonts w:cs="Arial"/>
          <w:sz w:val="22"/>
          <w:szCs w:val="22"/>
          <w:lang w:val="el-GR"/>
        </w:rPr>
        <w:t>/</w:t>
      </w:r>
      <w:r w:rsidR="003F55D5">
        <w:rPr>
          <w:rFonts w:cs="Arial"/>
          <w:sz w:val="22"/>
          <w:szCs w:val="22"/>
          <w:lang w:val="el-GR"/>
        </w:rPr>
        <w:t xml:space="preserve">1852 του Συμβουλίου για τους μηχανισμούς επίλυσης φορολογικών </w:t>
      </w:r>
      <w:r w:rsidR="002E440B">
        <w:rPr>
          <w:rFonts w:cs="Arial"/>
          <w:sz w:val="22"/>
          <w:szCs w:val="22"/>
          <w:lang w:val="el-GR"/>
        </w:rPr>
        <w:t>διαφορών</w:t>
      </w:r>
      <w:r w:rsidR="003F55D5">
        <w:rPr>
          <w:rFonts w:cs="Arial"/>
          <w:sz w:val="22"/>
          <w:szCs w:val="22"/>
          <w:lang w:val="el-GR"/>
        </w:rPr>
        <w:t xml:space="preserve"> στην </w:t>
      </w:r>
      <w:r w:rsidR="002E440B">
        <w:rPr>
          <w:rFonts w:cs="Arial"/>
          <w:sz w:val="22"/>
          <w:szCs w:val="22"/>
          <w:lang w:val="el-GR"/>
        </w:rPr>
        <w:t>Ευρωπαϊκή</w:t>
      </w:r>
      <w:r w:rsidR="003F55D5">
        <w:rPr>
          <w:rFonts w:cs="Arial"/>
          <w:sz w:val="22"/>
          <w:szCs w:val="22"/>
          <w:lang w:val="el-GR"/>
        </w:rPr>
        <w:t xml:space="preserve"> Ένωση</w:t>
      </w:r>
      <w:r w:rsidR="00C44545">
        <w:rPr>
          <w:rFonts w:cs="Arial"/>
          <w:sz w:val="22"/>
          <w:szCs w:val="22"/>
          <w:lang w:val="el-GR"/>
        </w:rPr>
        <w:t xml:space="preserve"> στην εθνική φορολογική νομοθεσία ώστε να </w:t>
      </w:r>
      <w:r w:rsidR="00C44545" w:rsidRPr="00C44545">
        <w:rPr>
          <w:rFonts w:cs="Arial"/>
          <w:sz w:val="22"/>
          <w:szCs w:val="22"/>
          <w:lang w:val="el-GR"/>
        </w:rPr>
        <w:t>καθορ</w:t>
      </w:r>
      <w:r w:rsidR="00C44545">
        <w:rPr>
          <w:rFonts w:cs="Arial"/>
          <w:sz w:val="22"/>
          <w:szCs w:val="22"/>
          <w:lang w:val="el-GR"/>
        </w:rPr>
        <w:t xml:space="preserve">ίζονται κανόνες </w:t>
      </w:r>
      <w:r w:rsidR="00C44545" w:rsidRPr="00C44545">
        <w:rPr>
          <w:rFonts w:cs="Arial"/>
          <w:sz w:val="22"/>
          <w:szCs w:val="22"/>
          <w:lang w:val="el-GR"/>
        </w:rPr>
        <w:t>για μηχανισμό επίλυσης διαφορών μεταξύ των κρατών μελών οι οποίες προκύπτουν από την ερμηνεία και την εφαρμογή συμφωνιών και συμβάσεων που προβλέπουν την εξάλειψη της διπλής φορολογίας εισοδήματος και, κατά περίπτωση, κεφαλαίου.</w:t>
      </w:r>
    </w:p>
    <w:p w:rsidR="008E6CE2" w:rsidRDefault="008E6CE2" w:rsidP="00BA1E13">
      <w:pPr>
        <w:tabs>
          <w:tab w:val="clear" w:pos="4961"/>
        </w:tabs>
        <w:spacing w:before="120" w:line="360" w:lineRule="auto"/>
        <w:ind w:left="448"/>
        <w:rPr>
          <w:rFonts w:cs="Arial"/>
          <w:sz w:val="22"/>
          <w:szCs w:val="22"/>
          <w:lang w:val="el-GR"/>
        </w:rPr>
      </w:pPr>
    </w:p>
    <w:p w:rsidR="00C766F8" w:rsidRDefault="00C766F8" w:rsidP="00605334">
      <w:pPr>
        <w:tabs>
          <w:tab w:val="clear" w:pos="567"/>
          <w:tab w:val="clear" w:pos="4961"/>
        </w:tabs>
        <w:spacing w:line="360" w:lineRule="auto"/>
        <w:ind w:left="450"/>
        <w:jc w:val="center"/>
        <w:rPr>
          <w:rFonts w:cs="Arial"/>
          <w:lang w:val="el-GR"/>
        </w:rPr>
      </w:pPr>
    </w:p>
    <w:p w:rsidR="00E664E2" w:rsidRDefault="00E664E2" w:rsidP="00605334">
      <w:pPr>
        <w:tabs>
          <w:tab w:val="clear" w:pos="567"/>
          <w:tab w:val="clear" w:pos="4961"/>
        </w:tabs>
        <w:spacing w:line="360" w:lineRule="auto"/>
        <w:ind w:left="450"/>
        <w:jc w:val="center"/>
        <w:rPr>
          <w:rFonts w:cs="Arial"/>
          <w:lang w:val="el-GR"/>
        </w:rPr>
      </w:pPr>
    </w:p>
    <w:p w:rsidR="00E27E07" w:rsidRPr="00E27E07" w:rsidRDefault="00E27E07" w:rsidP="00605334">
      <w:pPr>
        <w:tabs>
          <w:tab w:val="clear" w:pos="567"/>
          <w:tab w:val="clear" w:pos="4961"/>
        </w:tabs>
        <w:spacing w:line="360" w:lineRule="auto"/>
        <w:ind w:left="4820"/>
        <w:jc w:val="center"/>
        <w:rPr>
          <w:rFonts w:cs="Arial"/>
          <w:lang w:val="el-GR"/>
        </w:rPr>
      </w:pPr>
      <w:r w:rsidRPr="00E27E07">
        <w:rPr>
          <w:rFonts w:cs="Arial"/>
          <w:lang w:val="el-GR"/>
        </w:rPr>
        <w:t>Κώστας Κληρίδης</w:t>
      </w:r>
    </w:p>
    <w:p w:rsidR="00B12759" w:rsidRDefault="00E27E07" w:rsidP="00C05F90">
      <w:pPr>
        <w:spacing w:line="360" w:lineRule="auto"/>
        <w:ind w:left="4820"/>
        <w:jc w:val="center"/>
        <w:rPr>
          <w:b/>
          <w:sz w:val="22"/>
          <w:lang w:val="el-GR"/>
        </w:rPr>
      </w:pPr>
      <w:r w:rsidRPr="00E27E07">
        <w:rPr>
          <w:rFonts w:cs="Arial"/>
          <w:lang w:val="el-GR"/>
        </w:rPr>
        <w:t>Γενικός Εισαγγελέας της Δημοκρατίας</w:t>
      </w:r>
    </w:p>
    <w:sectPr w:rsidR="00B12759" w:rsidSect="00E14A32">
      <w:footerReference w:type="even" r:id="rId9"/>
      <w:footerReference w:type="default" r:id="rId10"/>
      <w:pgSz w:w="11907" w:h="16840" w:code="9"/>
      <w:pgMar w:top="1276" w:right="1080" w:bottom="2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DC" w:rsidRDefault="00C556DC">
      <w:r>
        <w:separator/>
      </w:r>
    </w:p>
  </w:endnote>
  <w:endnote w:type="continuationSeparator" w:id="0">
    <w:p w:rsidR="00C556DC" w:rsidRDefault="00C5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gOptima">
    <w:altName w:val="Courier New"/>
    <w:charset w:val="00"/>
    <w:family w:val="auto"/>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CA" w:rsidRDefault="00894D85" w:rsidP="00B12759">
    <w:pPr>
      <w:pStyle w:val="Footer"/>
      <w:framePr w:wrap="around" w:vAnchor="text" w:hAnchor="margin" w:xAlign="center" w:y="1"/>
      <w:rPr>
        <w:rStyle w:val="PageNumber"/>
      </w:rPr>
    </w:pPr>
    <w:r>
      <w:rPr>
        <w:rStyle w:val="PageNumber"/>
      </w:rPr>
      <w:fldChar w:fldCharType="begin"/>
    </w:r>
    <w:r w:rsidR="00AE34CA">
      <w:rPr>
        <w:rStyle w:val="PageNumber"/>
      </w:rPr>
      <w:instrText xml:space="preserve">PAGE  </w:instrText>
    </w:r>
    <w:r>
      <w:rPr>
        <w:rStyle w:val="PageNumber"/>
      </w:rPr>
      <w:fldChar w:fldCharType="end"/>
    </w:r>
  </w:p>
  <w:p w:rsidR="00AE34CA" w:rsidRDefault="00AE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CA" w:rsidRDefault="00894D85" w:rsidP="00B12759">
    <w:pPr>
      <w:pStyle w:val="Footer"/>
      <w:framePr w:wrap="around" w:vAnchor="text" w:hAnchor="margin" w:xAlign="center" w:y="1"/>
      <w:rPr>
        <w:rStyle w:val="PageNumber"/>
      </w:rPr>
    </w:pPr>
    <w:r>
      <w:rPr>
        <w:rStyle w:val="PageNumber"/>
      </w:rPr>
      <w:fldChar w:fldCharType="begin"/>
    </w:r>
    <w:r w:rsidR="00AE34CA">
      <w:rPr>
        <w:rStyle w:val="PageNumber"/>
      </w:rPr>
      <w:instrText xml:space="preserve">PAGE  </w:instrText>
    </w:r>
    <w:r>
      <w:rPr>
        <w:rStyle w:val="PageNumber"/>
      </w:rPr>
      <w:fldChar w:fldCharType="separate"/>
    </w:r>
    <w:r w:rsidR="00356C01">
      <w:rPr>
        <w:rStyle w:val="PageNumber"/>
        <w:noProof/>
      </w:rPr>
      <w:t>1</w:t>
    </w:r>
    <w:r>
      <w:rPr>
        <w:rStyle w:val="PageNumber"/>
      </w:rPr>
      <w:fldChar w:fldCharType="end"/>
    </w:r>
  </w:p>
  <w:p w:rsidR="00AE34CA" w:rsidRPr="00383B7C" w:rsidRDefault="00AE34CA" w:rsidP="00E27E07">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DC" w:rsidRDefault="00C556DC">
      <w:r>
        <w:separator/>
      </w:r>
    </w:p>
  </w:footnote>
  <w:footnote w:type="continuationSeparator" w:id="0">
    <w:p w:rsidR="00C556DC" w:rsidRDefault="00C55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09E"/>
    <w:multiLevelType w:val="hybridMultilevel"/>
    <w:tmpl w:val="9FDA0B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F070A02"/>
    <w:multiLevelType w:val="hybridMultilevel"/>
    <w:tmpl w:val="E228C45A"/>
    <w:lvl w:ilvl="0" w:tplc="6D3ADEB2">
      <w:start w:val="1"/>
      <w:numFmt w:val="lowerRoman"/>
      <w:lvlText w:val="(%1)"/>
      <w:lvlJc w:val="left"/>
      <w:pPr>
        <w:ind w:left="808" w:hanging="720"/>
      </w:pPr>
      <w:rPr>
        <w:rFonts w:hint="default"/>
      </w:rPr>
    </w:lvl>
    <w:lvl w:ilvl="1" w:tplc="04080019" w:tentative="1">
      <w:start w:val="1"/>
      <w:numFmt w:val="lowerLetter"/>
      <w:lvlText w:val="%2."/>
      <w:lvlJc w:val="left"/>
      <w:pPr>
        <w:ind w:left="1168" w:hanging="360"/>
      </w:pPr>
    </w:lvl>
    <w:lvl w:ilvl="2" w:tplc="0408001B" w:tentative="1">
      <w:start w:val="1"/>
      <w:numFmt w:val="lowerRoman"/>
      <w:lvlText w:val="%3."/>
      <w:lvlJc w:val="right"/>
      <w:pPr>
        <w:ind w:left="1888" w:hanging="180"/>
      </w:pPr>
    </w:lvl>
    <w:lvl w:ilvl="3" w:tplc="0408000F" w:tentative="1">
      <w:start w:val="1"/>
      <w:numFmt w:val="decimal"/>
      <w:lvlText w:val="%4."/>
      <w:lvlJc w:val="left"/>
      <w:pPr>
        <w:ind w:left="2608" w:hanging="360"/>
      </w:pPr>
    </w:lvl>
    <w:lvl w:ilvl="4" w:tplc="04080019" w:tentative="1">
      <w:start w:val="1"/>
      <w:numFmt w:val="lowerLetter"/>
      <w:lvlText w:val="%5."/>
      <w:lvlJc w:val="left"/>
      <w:pPr>
        <w:ind w:left="3328" w:hanging="360"/>
      </w:pPr>
    </w:lvl>
    <w:lvl w:ilvl="5" w:tplc="0408001B" w:tentative="1">
      <w:start w:val="1"/>
      <w:numFmt w:val="lowerRoman"/>
      <w:lvlText w:val="%6."/>
      <w:lvlJc w:val="right"/>
      <w:pPr>
        <w:ind w:left="4048" w:hanging="180"/>
      </w:pPr>
    </w:lvl>
    <w:lvl w:ilvl="6" w:tplc="0408000F" w:tentative="1">
      <w:start w:val="1"/>
      <w:numFmt w:val="decimal"/>
      <w:lvlText w:val="%7."/>
      <w:lvlJc w:val="left"/>
      <w:pPr>
        <w:ind w:left="4768" w:hanging="360"/>
      </w:pPr>
    </w:lvl>
    <w:lvl w:ilvl="7" w:tplc="04080019" w:tentative="1">
      <w:start w:val="1"/>
      <w:numFmt w:val="lowerLetter"/>
      <w:lvlText w:val="%8."/>
      <w:lvlJc w:val="left"/>
      <w:pPr>
        <w:ind w:left="5488" w:hanging="360"/>
      </w:pPr>
    </w:lvl>
    <w:lvl w:ilvl="8" w:tplc="0408001B" w:tentative="1">
      <w:start w:val="1"/>
      <w:numFmt w:val="lowerRoman"/>
      <w:lvlText w:val="%9."/>
      <w:lvlJc w:val="right"/>
      <w:pPr>
        <w:ind w:left="6208" w:hanging="180"/>
      </w:pPr>
    </w:lvl>
  </w:abstractNum>
  <w:abstractNum w:abstractNumId="2">
    <w:nsid w:val="20BB5B05"/>
    <w:multiLevelType w:val="hybridMultilevel"/>
    <w:tmpl w:val="9788D346"/>
    <w:lvl w:ilvl="0" w:tplc="93941764">
      <w:start w:val="4"/>
      <w:numFmt w:val="bullet"/>
      <w:lvlText w:val="-"/>
      <w:lvlJc w:val="left"/>
      <w:pPr>
        <w:ind w:left="720" w:hanging="360"/>
      </w:pPr>
      <w:rPr>
        <w:rFonts w:ascii="Arial" w:eastAsia="SimSun" w:hAnsi="Arial" w:cs="Wingdings"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B22D44"/>
    <w:multiLevelType w:val="hybridMultilevel"/>
    <w:tmpl w:val="779888A0"/>
    <w:lvl w:ilvl="0" w:tplc="E4D08314">
      <w:start w:val="1"/>
      <w:numFmt w:val="decimal"/>
      <w:lvlText w:val="%1."/>
      <w:lvlJc w:val="left"/>
      <w:pPr>
        <w:ind w:left="394" w:hanging="360"/>
      </w:pPr>
      <w:rPr>
        <w:rFonts w:hint="default"/>
        <w:b/>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nsid w:val="24C4286E"/>
    <w:multiLevelType w:val="hybridMultilevel"/>
    <w:tmpl w:val="200CF47E"/>
    <w:lvl w:ilvl="0" w:tplc="BAF024E8">
      <w:start w:val="1"/>
      <w:numFmt w:val="lowerRoman"/>
      <w:lvlText w:val="(%1)"/>
      <w:lvlJc w:val="left"/>
      <w:pPr>
        <w:ind w:left="811" w:hanging="720"/>
      </w:pPr>
      <w:rPr>
        <w:rFonts w:hint="default"/>
      </w:rPr>
    </w:lvl>
    <w:lvl w:ilvl="1" w:tplc="04080019" w:tentative="1">
      <w:start w:val="1"/>
      <w:numFmt w:val="lowerLetter"/>
      <w:lvlText w:val="%2."/>
      <w:lvlJc w:val="left"/>
      <w:pPr>
        <w:ind w:left="1171" w:hanging="360"/>
      </w:pPr>
    </w:lvl>
    <w:lvl w:ilvl="2" w:tplc="0408001B" w:tentative="1">
      <w:start w:val="1"/>
      <w:numFmt w:val="lowerRoman"/>
      <w:lvlText w:val="%3."/>
      <w:lvlJc w:val="right"/>
      <w:pPr>
        <w:ind w:left="1891" w:hanging="180"/>
      </w:pPr>
    </w:lvl>
    <w:lvl w:ilvl="3" w:tplc="0408000F" w:tentative="1">
      <w:start w:val="1"/>
      <w:numFmt w:val="decimal"/>
      <w:lvlText w:val="%4."/>
      <w:lvlJc w:val="left"/>
      <w:pPr>
        <w:ind w:left="2611" w:hanging="360"/>
      </w:pPr>
    </w:lvl>
    <w:lvl w:ilvl="4" w:tplc="04080019" w:tentative="1">
      <w:start w:val="1"/>
      <w:numFmt w:val="lowerLetter"/>
      <w:lvlText w:val="%5."/>
      <w:lvlJc w:val="left"/>
      <w:pPr>
        <w:ind w:left="3331" w:hanging="360"/>
      </w:pPr>
    </w:lvl>
    <w:lvl w:ilvl="5" w:tplc="0408001B" w:tentative="1">
      <w:start w:val="1"/>
      <w:numFmt w:val="lowerRoman"/>
      <w:lvlText w:val="%6."/>
      <w:lvlJc w:val="right"/>
      <w:pPr>
        <w:ind w:left="4051" w:hanging="180"/>
      </w:pPr>
    </w:lvl>
    <w:lvl w:ilvl="6" w:tplc="0408000F" w:tentative="1">
      <w:start w:val="1"/>
      <w:numFmt w:val="decimal"/>
      <w:lvlText w:val="%7."/>
      <w:lvlJc w:val="left"/>
      <w:pPr>
        <w:ind w:left="4771" w:hanging="360"/>
      </w:pPr>
    </w:lvl>
    <w:lvl w:ilvl="7" w:tplc="04080019" w:tentative="1">
      <w:start w:val="1"/>
      <w:numFmt w:val="lowerLetter"/>
      <w:lvlText w:val="%8."/>
      <w:lvlJc w:val="left"/>
      <w:pPr>
        <w:ind w:left="5491" w:hanging="360"/>
      </w:pPr>
    </w:lvl>
    <w:lvl w:ilvl="8" w:tplc="0408001B" w:tentative="1">
      <w:start w:val="1"/>
      <w:numFmt w:val="lowerRoman"/>
      <w:lvlText w:val="%9."/>
      <w:lvlJc w:val="right"/>
      <w:pPr>
        <w:ind w:left="6211" w:hanging="180"/>
      </w:pPr>
    </w:lvl>
  </w:abstractNum>
  <w:abstractNum w:abstractNumId="5">
    <w:nsid w:val="250D2568"/>
    <w:multiLevelType w:val="hybridMultilevel"/>
    <w:tmpl w:val="8B2C8A3A"/>
    <w:lvl w:ilvl="0" w:tplc="F41EAB28">
      <w:start w:val="1"/>
      <w:numFmt w:val="lowerRoman"/>
      <w:lvlText w:val="%1)"/>
      <w:lvlJc w:val="left"/>
      <w:pPr>
        <w:ind w:left="840" w:hanging="72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6">
    <w:nsid w:val="271A5850"/>
    <w:multiLevelType w:val="hybridMultilevel"/>
    <w:tmpl w:val="09020DE4"/>
    <w:lvl w:ilvl="0" w:tplc="F09E82D8">
      <w:start w:val="1"/>
      <w:numFmt w:val="lowerRoman"/>
      <w:lvlText w:val="(%1)"/>
      <w:lvlJc w:val="left"/>
      <w:pPr>
        <w:ind w:left="840" w:hanging="72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7">
    <w:nsid w:val="289E7F0E"/>
    <w:multiLevelType w:val="hybridMultilevel"/>
    <w:tmpl w:val="AFA4D0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B377F4D"/>
    <w:multiLevelType w:val="hybridMultilevel"/>
    <w:tmpl w:val="3138BA0E"/>
    <w:lvl w:ilvl="0" w:tplc="413E468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862A0B"/>
    <w:multiLevelType w:val="hybridMultilevel"/>
    <w:tmpl w:val="5F243E36"/>
    <w:lvl w:ilvl="0" w:tplc="22347ED6">
      <w:start w:val="1"/>
      <w:numFmt w:val="lowerRoman"/>
      <w:lvlText w:val="(%1)"/>
      <w:lvlJc w:val="left"/>
      <w:pPr>
        <w:ind w:left="839" w:hanging="720"/>
      </w:pPr>
      <w:rPr>
        <w:rFonts w:hint="default"/>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abstractNum w:abstractNumId="10">
    <w:nsid w:val="578303BB"/>
    <w:multiLevelType w:val="hybridMultilevel"/>
    <w:tmpl w:val="95F8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66B41"/>
    <w:multiLevelType w:val="hybridMultilevel"/>
    <w:tmpl w:val="DD0A5D20"/>
    <w:lvl w:ilvl="0" w:tplc="F4228140">
      <w:start w:val="1"/>
      <w:numFmt w:val="lowerRoman"/>
      <w:lvlText w:val="(%1)"/>
      <w:lvlJc w:val="left"/>
      <w:pPr>
        <w:ind w:left="808" w:hanging="720"/>
      </w:pPr>
      <w:rPr>
        <w:rFonts w:hint="default"/>
      </w:rPr>
    </w:lvl>
    <w:lvl w:ilvl="1" w:tplc="04080019" w:tentative="1">
      <w:start w:val="1"/>
      <w:numFmt w:val="lowerLetter"/>
      <w:lvlText w:val="%2."/>
      <w:lvlJc w:val="left"/>
      <w:pPr>
        <w:ind w:left="1168" w:hanging="360"/>
      </w:pPr>
    </w:lvl>
    <w:lvl w:ilvl="2" w:tplc="0408001B" w:tentative="1">
      <w:start w:val="1"/>
      <w:numFmt w:val="lowerRoman"/>
      <w:lvlText w:val="%3."/>
      <w:lvlJc w:val="right"/>
      <w:pPr>
        <w:ind w:left="1888" w:hanging="180"/>
      </w:pPr>
    </w:lvl>
    <w:lvl w:ilvl="3" w:tplc="0408000F" w:tentative="1">
      <w:start w:val="1"/>
      <w:numFmt w:val="decimal"/>
      <w:lvlText w:val="%4."/>
      <w:lvlJc w:val="left"/>
      <w:pPr>
        <w:ind w:left="2608" w:hanging="360"/>
      </w:pPr>
    </w:lvl>
    <w:lvl w:ilvl="4" w:tplc="04080019" w:tentative="1">
      <w:start w:val="1"/>
      <w:numFmt w:val="lowerLetter"/>
      <w:lvlText w:val="%5."/>
      <w:lvlJc w:val="left"/>
      <w:pPr>
        <w:ind w:left="3328" w:hanging="360"/>
      </w:pPr>
    </w:lvl>
    <w:lvl w:ilvl="5" w:tplc="0408001B" w:tentative="1">
      <w:start w:val="1"/>
      <w:numFmt w:val="lowerRoman"/>
      <w:lvlText w:val="%6."/>
      <w:lvlJc w:val="right"/>
      <w:pPr>
        <w:ind w:left="4048" w:hanging="180"/>
      </w:pPr>
    </w:lvl>
    <w:lvl w:ilvl="6" w:tplc="0408000F" w:tentative="1">
      <w:start w:val="1"/>
      <w:numFmt w:val="decimal"/>
      <w:lvlText w:val="%7."/>
      <w:lvlJc w:val="left"/>
      <w:pPr>
        <w:ind w:left="4768" w:hanging="360"/>
      </w:pPr>
    </w:lvl>
    <w:lvl w:ilvl="7" w:tplc="04080019" w:tentative="1">
      <w:start w:val="1"/>
      <w:numFmt w:val="lowerLetter"/>
      <w:lvlText w:val="%8."/>
      <w:lvlJc w:val="left"/>
      <w:pPr>
        <w:ind w:left="5488" w:hanging="360"/>
      </w:pPr>
    </w:lvl>
    <w:lvl w:ilvl="8" w:tplc="0408001B" w:tentative="1">
      <w:start w:val="1"/>
      <w:numFmt w:val="lowerRoman"/>
      <w:lvlText w:val="%9."/>
      <w:lvlJc w:val="right"/>
      <w:pPr>
        <w:ind w:left="6208" w:hanging="180"/>
      </w:pPr>
    </w:lvl>
  </w:abstractNum>
  <w:abstractNum w:abstractNumId="12">
    <w:nsid w:val="62965537"/>
    <w:multiLevelType w:val="hybridMultilevel"/>
    <w:tmpl w:val="47921918"/>
    <w:lvl w:ilvl="0" w:tplc="F74CC996">
      <w:start w:val="1"/>
      <w:numFmt w:val="decimal"/>
      <w:lvlText w:val="%1."/>
      <w:lvlJc w:val="left"/>
      <w:pPr>
        <w:ind w:left="536" w:hanging="360"/>
      </w:pPr>
      <w:rPr>
        <w:rFonts w:cs="Arial" w:hint="default"/>
        <w:b/>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13">
    <w:nsid w:val="6BCF2160"/>
    <w:multiLevelType w:val="hybridMultilevel"/>
    <w:tmpl w:val="9C329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F56DC5"/>
    <w:multiLevelType w:val="hybridMultilevel"/>
    <w:tmpl w:val="E6841468"/>
    <w:lvl w:ilvl="0" w:tplc="EA5ED2DE">
      <w:start w:val="1"/>
      <w:numFmt w:val="lowerRoman"/>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5">
    <w:nsid w:val="7AD754A3"/>
    <w:multiLevelType w:val="hybridMultilevel"/>
    <w:tmpl w:val="DD0A5D20"/>
    <w:lvl w:ilvl="0" w:tplc="F4228140">
      <w:start w:val="1"/>
      <w:numFmt w:val="lowerRoman"/>
      <w:lvlText w:val="(%1)"/>
      <w:lvlJc w:val="left"/>
      <w:pPr>
        <w:ind w:left="808" w:hanging="720"/>
      </w:pPr>
      <w:rPr>
        <w:rFonts w:hint="default"/>
      </w:rPr>
    </w:lvl>
    <w:lvl w:ilvl="1" w:tplc="04080019" w:tentative="1">
      <w:start w:val="1"/>
      <w:numFmt w:val="lowerLetter"/>
      <w:lvlText w:val="%2."/>
      <w:lvlJc w:val="left"/>
      <w:pPr>
        <w:ind w:left="1168" w:hanging="360"/>
      </w:pPr>
    </w:lvl>
    <w:lvl w:ilvl="2" w:tplc="0408001B" w:tentative="1">
      <w:start w:val="1"/>
      <w:numFmt w:val="lowerRoman"/>
      <w:lvlText w:val="%3."/>
      <w:lvlJc w:val="right"/>
      <w:pPr>
        <w:ind w:left="1888" w:hanging="180"/>
      </w:pPr>
    </w:lvl>
    <w:lvl w:ilvl="3" w:tplc="0408000F" w:tentative="1">
      <w:start w:val="1"/>
      <w:numFmt w:val="decimal"/>
      <w:lvlText w:val="%4."/>
      <w:lvlJc w:val="left"/>
      <w:pPr>
        <w:ind w:left="2608" w:hanging="360"/>
      </w:pPr>
    </w:lvl>
    <w:lvl w:ilvl="4" w:tplc="04080019" w:tentative="1">
      <w:start w:val="1"/>
      <w:numFmt w:val="lowerLetter"/>
      <w:lvlText w:val="%5."/>
      <w:lvlJc w:val="left"/>
      <w:pPr>
        <w:ind w:left="3328" w:hanging="360"/>
      </w:pPr>
    </w:lvl>
    <w:lvl w:ilvl="5" w:tplc="0408001B" w:tentative="1">
      <w:start w:val="1"/>
      <w:numFmt w:val="lowerRoman"/>
      <w:lvlText w:val="%6."/>
      <w:lvlJc w:val="right"/>
      <w:pPr>
        <w:ind w:left="4048" w:hanging="180"/>
      </w:pPr>
    </w:lvl>
    <w:lvl w:ilvl="6" w:tplc="0408000F" w:tentative="1">
      <w:start w:val="1"/>
      <w:numFmt w:val="decimal"/>
      <w:lvlText w:val="%7."/>
      <w:lvlJc w:val="left"/>
      <w:pPr>
        <w:ind w:left="4768" w:hanging="360"/>
      </w:pPr>
    </w:lvl>
    <w:lvl w:ilvl="7" w:tplc="04080019" w:tentative="1">
      <w:start w:val="1"/>
      <w:numFmt w:val="lowerLetter"/>
      <w:lvlText w:val="%8."/>
      <w:lvlJc w:val="left"/>
      <w:pPr>
        <w:ind w:left="5488" w:hanging="360"/>
      </w:pPr>
    </w:lvl>
    <w:lvl w:ilvl="8" w:tplc="0408001B" w:tentative="1">
      <w:start w:val="1"/>
      <w:numFmt w:val="lowerRoman"/>
      <w:lvlText w:val="%9."/>
      <w:lvlJc w:val="right"/>
      <w:pPr>
        <w:ind w:left="6208" w:hanging="180"/>
      </w:pPr>
    </w:lvl>
  </w:abstractNum>
  <w:abstractNum w:abstractNumId="16">
    <w:nsid w:val="7E5E3027"/>
    <w:multiLevelType w:val="hybridMultilevel"/>
    <w:tmpl w:val="960025AA"/>
    <w:lvl w:ilvl="0" w:tplc="FB1E7AFC">
      <w:start w:val="1"/>
      <w:numFmt w:val="lowerRoman"/>
      <w:lvlText w:val="(%1)"/>
      <w:lvlJc w:val="left"/>
      <w:pPr>
        <w:ind w:left="839" w:hanging="720"/>
      </w:pPr>
      <w:rPr>
        <w:rFonts w:hint="default"/>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num w:numId="1">
    <w:abstractNumId w:val="13"/>
  </w:num>
  <w:num w:numId="2">
    <w:abstractNumId w:val="2"/>
  </w:num>
  <w:num w:numId="3">
    <w:abstractNumId w:val="10"/>
  </w:num>
  <w:num w:numId="4">
    <w:abstractNumId w:val="7"/>
  </w:num>
  <w:num w:numId="5">
    <w:abstractNumId w:val="0"/>
  </w:num>
  <w:num w:numId="6">
    <w:abstractNumId w:val="11"/>
  </w:num>
  <w:num w:numId="7">
    <w:abstractNumId w:val="15"/>
  </w:num>
  <w:num w:numId="8">
    <w:abstractNumId w:val="1"/>
  </w:num>
  <w:num w:numId="9">
    <w:abstractNumId w:val="12"/>
  </w:num>
  <w:num w:numId="10">
    <w:abstractNumId w:val="8"/>
  </w:num>
  <w:num w:numId="11">
    <w:abstractNumId w:val="9"/>
  </w:num>
  <w:num w:numId="12">
    <w:abstractNumId w:val="16"/>
  </w:num>
  <w:num w:numId="13">
    <w:abstractNumId w:val="6"/>
  </w:num>
  <w:num w:numId="14">
    <w:abstractNumId w:val="4"/>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D6"/>
    <w:rsid w:val="00000593"/>
    <w:rsid w:val="00001B0F"/>
    <w:rsid w:val="00004B78"/>
    <w:rsid w:val="0001007A"/>
    <w:rsid w:val="00012BF8"/>
    <w:rsid w:val="0001410D"/>
    <w:rsid w:val="00024CBF"/>
    <w:rsid w:val="00025C73"/>
    <w:rsid w:val="000262CD"/>
    <w:rsid w:val="00031B29"/>
    <w:rsid w:val="000320E0"/>
    <w:rsid w:val="00034C30"/>
    <w:rsid w:val="000379AE"/>
    <w:rsid w:val="0004581F"/>
    <w:rsid w:val="00055F23"/>
    <w:rsid w:val="000619B7"/>
    <w:rsid w:val="000672D0"/>
    <w:rsid w:val="00075112"/>
    <w:rsid w:val="000805F8"/>
    <w:rsid w:val="000916AF"/>
    <w:rsid w:val="00096F59"/>
    <w:rsid w:val="000A0FEF"/>
    <w:rsid w:val="000A212E"/>
    <w:rsid w:val="000A6EB6"/>
    <w:rsid w:val="000B00BC"/>
    <w:rsid w:val="000B0234"/>
    <w:rsid w:val="000B1455"/>
    <w:rsid w:val="000B243A"/>
    <w:rsid w:val="000B3CD5"/>
    <w:rsid w:val="000B5C4C"/>
    <w:rsid w:val="000C13DE"/>
    <w:rsid w:val="000C5565"/>
    <w:rsid w:val="000D125C"/>
    <w:rsid w:val="000D1291"/>
    <w:rsid w:val="000D3F97"/>
    <w:rsid w:val="000E0CC1"/>
    <w:rsid w:val="000E54D2"/>
    <w:rsid w:val="000E6B15"/>
    <w:rsid w:val="000E7B5C"/>
    <w:rsid w:val="000F62AE"/>
    <w:rsid w:val="0011257E"/>
    <w:rsid w:val="001158B5"/>
    <w:rsid w:val="00117BE8"/>
    <w:rsid w:val="001265B9"/>
    <w:rsid w:val="00127A14"/>
    <w:rsid w:val="00132D47"/>
    <w:rsid w:val="001436B5"/>
    <w:rsid w:val="00171CB2"/>
    <w:rsid w:val="00177736"/>
    <w:rsid w:val="00181594"/>
    <w:rsid w:val="00183F42"/>
    <w:rsid w:val="0018557C"/>
    <w:rsid w:val="00186B3B"/>
    <w:rsid w:val="001915D9"/>
    <w:rsid w:val="00194C7A"/>
    <w:rsid w:val="001A22FA"/>
    <w:rsid w:val="001A560F"/>
    <w:rsid w:val="001A5DCF"/>
    <w:rsid w:val="001A6664"/>
    <w:rsid w:val="001B258A"/>
    <w:rsid w:val="001C39C0"/>
    <w:rsid w:val="001D32DF"/>
    <w:rsid w:val="001D699B"/>
    <w:rsid w:val="001D7549"/>
    <w:rsid w:val="001E0909"/>
    <w:rsid w:val="001F1FEE"/>
    <w:rsid w:val="001F20AF"/>
    <w:rsid w:val="001F3A83"/>
    <w:rsid w:val="001F4BE9"/>
    <w:rsid w:val="00200E34"/>
    <w:rsid w:val="00205A9C"/>
    <w:rsid w:val="00210EBF"/>
    <w:rsid w:val="0021237D"/>
    <w:rsid w:val="002142E2"/>
    <w:rsid w:val="002173CE"/>
    <w:rsid w:val="002237CC"/>
    <w:rsid w:val="00231F6E"/>
    <w:rsid w:val="00241474"/>
    <w:rsid w:val="002444C9"/>
    <w:rsid w:val="002449E0"/>
    <w:rsid w:val="00245BA0"/>
    <w:rsid w:val="00250416"/>
    <w:rsid w:val="002510AF"/>
    <w:rsid w:val="002525E7"/>
    <w:rsid w:val="00257D67"/>
    <w:rsid w:val="00260897"/>
    <w:rsid w:val="00261650"/>
    <w:rsid w:val="0026470E"/>
    <w:rsid w:val="00264720"/>
    <w:rsid w:val="002665C5"/>
    <w:rsid w:val="00266A99"/>
    <w:rsid w:val="00272C0B"/>
    <w:rsid w:val="002749C7"/>
    <w:rsid w:val="00293966"/>
    <w:rsid w:val="00294444"/>
    <w:rsid w:val="00297B7C"/>
    <w:rsid w:val="002A0DE8"/>
    <w:rsid w:val="002A69ED"/>
    <w:rsid w:val="002B041D"/>
    <w:rsid w:val="002B1385"/>
    <w:rsid w:val="002B3BF6"/>
    <w:rsid w:val="002C14CB"/>
    <w:rsid w:val="002C2242"/>
    <w:rsid w:val="002C5EF8"/>
    <w:rsid w:val="002C7B1D"/>
    <w:rsid w:val="002D6DF4"/>
    <w:rsid w:val="002D7DEE"/>
    <w:rsid w:val="002E056F"/>
    <w:rsid w:val="002E440B"/>
    <w:rsid w:val="002E61BD"/>
    <w:rsid w:val="002E7417"/>
    <w:rsid w:val="002F09E9"/>
    <w:rsid w:val="002F231D"/>
    <w:rsid w:val="002F4DC9"/>
    <w:rsid w:val="002F6D4E"/>
    <w:rsid w:val="00302C43"/>
    <w:rsid w:val="00305680"/>
    <w:rsid w:val="003057C9"/>
    <w:rsid w:val="003169BA"/>
    <w:rsid w:val="003351C2"/>
    <w:rsid w:val="003363E3"/>
    <w:rsid w:val="00337589"/>
    <w:rsid w:val="00337E98"/>
    <w:rsid w:val="00341E02"/>
    <w:rsid w:val="00347AF4"/>
    <w:rsid w:val="003500DE"/>
    <w:rsid w:val="00351847"/>
    <w:rsid w:val="00352925"/>
    <w:rsid w:val="00354F2D"/>
    <w:rsid w:val="00355F0D"/>
    <w:rsid w:val="0035633B"/>
    <w:rsid w:val="00356C01"/>
    <w:rsid w:val="00365169"/>
    <w:rsid w:val="0036521F"/>
    <w:rsid w:val="00371932"/>
    <w:rsid w:val="00376404"/>
    <w:rsid w:val="00385252"/>
    <w:rsid w:val="00386953"/>
    <w:rsid w:val="00386A3E"/>
    <w:rsid w:val="0039349C"/>
    <w:rsid w:val="0039611E"/>
    <w:rsid w:val="00396DD5"/>
    <w:rsid w:val="003A07E7"/>
    <w:rsid w:val="003A0FFE"/>
    <w:rsid w:val="003A3A66"/>
    <w:rsid w:val="003A544C"/>
    <w:rsid w:val="003B1D75"/>
    <w:rsid w:val="003C0B33"/>
    <w:rsid w:val="003C16F9"/>
    <w:rsid w:val="003C2480"/>
    <w:rsid w:val="003C4B61"/>
    <w:rsid w:val="003C640D"/>
    <w:rsid w:val="003D1B0B"/>
    <w:rsid w:val="003D502E"/>
    <w:rsid w:val="003E4EA9"/>
    <w:rsid w:val="003E5E0E"/>
    <w:rsid w:val="003E64C4"/>
    <w:rsid w:val="003F0525"/>
    <w:rsid w:val="003F0D23"/>
    <w:rsid w:val="003F55D5"/>
    <w:rsid w:val="004052F4"/>
    <w:rsid w:val="00415966"/>
    <w:rsid w:val="00416E39"/>
    <w:rsid w:val="004170F5"/>
    <w:rsid w:val="00430749"/>
    <w:rsid w:val="00431C14"/>
    <w:rsid w:val="00431EC4"/>
    <w:rsid w:val="00432E1D"/>
    <w:rsid w:val="004335B3"/>
    <w:rsid w:val="004354F2"/>
    <w:rsid w:val="0044197B"/>
    <w:rsid w:val="0045019A"/>
    <w:rsid w:val="00454C32"/>
    <w:rsid w:val="00460B31"/>
    <w:rsid w:val="00465E42"/>
    <w:rsid w:val="00466DBE"/>
    <w:rsid w:val="0047333A"/>
    <w:rsid w:val="0047705D"/>
    <w:rsid w:val="00481DFB"/>
    <w:rsid w:val="00484284"/>
    <w:rsid w:val="00490397"/>
    <w:rsid w:val="004936FC"/>
    <w:rsid w:val="00494563"/>
    <w:rsid w:val="00495D40"/>
    <w:rsid w:val="004A0D3C"/>
    <w:rsid w:val="004A2931"/>
    <w:rsid w:val="004A323D"/>
    <w:rsid w:val="004A3255"/>
    <w:rsid w:val="004B530B"/>
    <w:rsid w:val="004B5B75"/>
    <w:rsid w:val="004B7BE0"/>
    <w:rsid w:val="004C140B"/>
    <w:rsid w:val="004C15F3"/>
    <w:rsid w:val="004C378A"/>
    <w:rsid w:val="004D384E"/>
    <w:rsid w:val="004D6FB1"/>
    <w:rsid w:val="004E0BD4"/>
    <w:rsid w:val="004F0B01"/>
    <w:rsid w:val="004F2216"/>
    <w:rsid w:val="00501C92"/>
    <w:rsid w:val="00510F6A"/>
    <w:rsid w:val="00512694"/>
    <w:rsid w:val="00512880"/>
    <w:rsid w:val="00513570"/>
    <w:rsid w:val="005138FC"/>
    <w:rsid w:val="00515B72"/>
    <w:rsid w:val="00522C12"/>
    <w:rsid w:val="00523060"/>
    <w:rsid w:val="00526896"/>
    <w:rsid w:val="00534A80"/>
    <w:rsid w:val="00536287"/>
    <w:rsid w:val="00536A90"/>
    <w:rsid w:val="00542316"/>
    <w:rsid w:val="00544B4C"/>
    <w:rsid w:val="005458F1"/>
    <w:rsid w:val="0055266C"/>
    <w:rsid w:val="00560C03"/>
    <w:rsid w:val="0056773A"/>
    <w:rsid w:val="00570767"/>
    <w:rsid w:val="00573A15"/>
    <w:rsid w:val="00574427"/>
    <w:rsid w:val="00577DF3"/>
    <w:rsid w:val="00583169"/>
    <w:rsid w:val="0058502A"/>
    <w:rsid w:val="00587E6A"/>
    <w:rsid w:val="0059019F"/>
    <w:rsid w:val="00593041"/>
    <w:rsid w:val="00593889"/>
    <w:rsid w:val="00594D68"/>
    <w:rsid w:val="005968F3"/>
    <w:rsid w:val="00596E20"/>
    <w:rsid w:val="005A29EA"/>
    <w:rsid w:val="005A5977"/>
    <w:rsid w:val="005B0243"/>
    <w:rsid w:val="005B086C"/>
    <w:rsid w:val="005B3AB0"/>
    <w:rsid w:val="005C23ED"/>
    <w:rsid w:val="005C2D5C"/>
    <w:rsid w:val="005D0E26"/>
    <w:rsid w:val="005D2EAC"/>
    <w:rsid w:val="005D40C4"/>
    <w:rsid w:val="005D436D"/>
    <w:rsid w:val="005D551F"/>
    <w:rsid w:val="005D6E6F"/>
    <w:rsid w:val="005D75BC"/>
    <w:rsid w:val="005E44CF"/>
    <w:rsid w:val="005F255E"/>
    <w:rsid w:val="005F2AF4"/>
    <w:rsid w:val="0060116D"/>
    <w:rsid w:val="00605334"/>
    <w:rsid w:val="0060534F"/>
    <w:rsid w:val="006147A9"/>
    <w:rsid w:val="006260FD"/>
    <w:rsid w:val="006272CF"/>
    <w:rsid w:val="00642DE6"/>
    <w:rsid w:val="00643938"/>
    <w:rsid w:val="00651F10"/>
    <w:rsid w:val="006604CF"/>
    <w:rsid w:val="00662FD1"/>
    <w:rsid w:val="00664367"/>
    <w:rsid w:val="006649A1"/>
    <w:rsid w:val="00666717"/>
    <w:rsid w:val="006742A6"/>
    <w:rsid w:val="00677FCE"/>
    <w:rsid w:val="00680383"/>
    <w:rsid w:val="00683A2C"/>
    <w:rsid w:val="00684143"/>
    <w:rsid w:val="006A02DF"/>
    <w:rsid w:val="006A049F"/>
    <w:rsid w:val="006A7D79"/>
    <w:rsid w:val="006B1193"/>
    <w:rsid w:val="006B1E95"/>
    <w:rsid w:val="006B7F54"/>
    <w:rsid w:val="006C1757"/>
    <w:rsid w:val="006C1C0E"/>
    <w:rsid w:val="006C1F57"/>
    <w:rsid w:val="006C51C3"/>
    <w:rsid w:val="006C585C"/>
    <w:rsid w:val="006D2AE7"/>
    <w:rsid w:val="006D7DEB"/>
    <w:rsid w:val="006E5AF8"/>
    <w:rsid w:val="006F19FF"/>
    <w:rsid w:val="006F494F"/>
    <w:rsid w:val="00700778"/>
    <w:rsid w:val="00700F24"/>
    <w:rsid w:val="00714A09"/>
    <w:rsid w:val="007161E9"/>
    <w:rsid w:val="007171E7"/>
    <w:rsid w:val="00717911"/>
    <w:rsid w:val="00721778"/>
    <w:rsid w:val="00723EEF"/>
    <w:rsid w:val="00724D7A"/>
    <w:rsid w:val="00726BB9"/>
    <w:rsid w:val="007275B2"/>
    <w:rsid w:val="00730529"/>
    <w:rsid w:val="00733858"/>
    <w:rsid w:val="00735E0E"/>
    <w:rsid w:val="00740F84"/>
    <w:rsid w:val="00744474"/>
    <w:rsid w:val="00747AD6"/>
    <w:rsid w:val="00760BCC"/>
    <w:rsid w:val="007613E4"/>
    <w:rsid w:val="00765A6E"/>
    <w:rsid w:val="00766836"/>
    <w:rsid w:val="007673CF"/>
    <w:rsid w:val="00770AFD"/>
    <w:rsid w:val="007731F4"/>
    <w:rsid w:val="00773329"/>
    <w:rsid w:val="00773921"/>
    <w:rsid w:val="007773A1"/>
    <w:rsid w:val="00782C14"/>
    <w:rsid w:val="00790A98"/>
    <w:rsid w:val="00791CE2"/>
    <w:rsid w:val="00796F2E"/>
    <w:rsid w:val="00797744"/>
    <w:rsid w:val="007A4CBE"/>
    <w:rsid w:val="007A5A3E"/>
    <w:rsid w:val="007B16A4"/>
    <w:rsid w:val="007B2851"/>
    <w:rsid w:val="007B4C78"/>
    <w:rsid w:val="007C507B"/>
    <w:rsid w:val="007D545E"/>
    <w:rsid w:val="007F14EB"/>
    <w:rsid w:val="007F7769"/>
    <w:rsid w:val="00807490"/>
    <w:rsid w:val="00810D46"/>
    <w:rsid w:val="008145A8"/>
    <w:rsid w:val="008209AD"/>
    <w:rsid w:val="00824EC6"/>
    <w:rsid w:val="0083590A"/>
    <w:rsid w:val="00835F6A"/>
    <w:rsid w:val="0083695B"/>
    <w:rsid w:val="008376DA"/>
    <w:rsid w:val="008415C5"/>
    <w:rsid w:val="00841AC5"/>
    <w:rsid w:val="00842339"/>
    <w:rsid w:val="008463D8"/>
    <w:rsid w:val="00853E57"/>
    <w:rsid w:val="008546A0"/>
    <w:rsid w:val="00870198"/>
    <w:rsid w:val="00873014"/>
    <w:rsid w:val="00874D1E"/>
    <w:rsid w:val="0087559A"/>
    <w:rsid w:val="008775D4"/>
    <w:rsid w:val="008864D3"/>
    <w:rsid w:val="0089282C"/>
    <w:rsid w:val="00894D85"/>
    <w:rsid w:val="0089757B"/>
    <w:rsid w:val="008A0829"/>
    <w:rsid w:val="008A31E8"/>
    <w:rsid w:val="008B1597"/>
    <w:rsid w:val="008B3AB8"/>
    <w:rsid w:val="008B6C0D"/>
    <w:rsid w:val="008C0605"/>
    <w:rsid w:val="008C2269"/>
    <w:rsid w:val="008C22D3"/>
    <w:rsid w:val="008C2409"/>
    <w:rsid w:val="008C4414"/>
    <w:rsid w:val="008C4F3B"/>
    <w:rsid w:val="008C6047"/>
    <w:rsid w:val="008C6693"/>
    <w:rsid w:val="008D24B4"/>
    <w:rsid w:val="008D3F00"/>
    <w:rsid w:val="008D6722"/>
    <w:rsid w:val="008E30CC"/>
    <w:rsid w:val="008E6CE2"/>
    <w:rsid w:val="008F1818"/>
    <w:rsid w:val="008F4E42"/>
    <w:rsid w:val="00904409"/>
    <w:rsid w:val="00905904"/>
    <w:rsid w:val="009071D0"/>
    <w:rsid w:val="0092289A"/>
    <w:rsid w:val="00925D6D"/>
    <w:rsid w:val="00927A67"/>
    <w:rsid w:val="00936707"/>
    <w:rsid w:val="009438F6"/>
    <w:rsid w:val="0096219F"/>
    <w:rsid w:val="009622AE"/>
    <w:rsid w:val="00962E4C"/>
    <w:rsid w:val="00965F65"/>
    <w:rsid w:val="00967B65"/>
    <w:rsid w:val="009704A7"/>
    <w:rsid w:val="00996465"/>
    <w:rsid w:val="00996D04"/>
    <w:rsid w:val="009A3A96"/>
    <w:rsid w:val="009A3AC4"/>
    <w:rsid w:val="009A5DBF"/>
    <w:rsid w:val="009B04B4"/>
    <w:rsid w:val="009B25E9"/>
    <w:rsid w:val="009B3EF3"/>
    <w:rsid w:val="009B57F9"/>
    <w:rsid w:val="009C0E75"/>
    <w:rsid w:val="009C2AE3"/>
    <w:rsid w:val="009C3A85"/>
    <w:rsid w:val="009C73F6"/>
    <w:rsid w:val="009D0858"/>
    <w:rsid w:val="009D2306"/>
    <w:rsid w:val="009D358B"/>
    <w:rsid w:val="009D4B64"/>
    <w:rsid w:val="009E09ED"/>
    <w:rsid w:val="009E1245"/>
    <w:rsid w:val="009E28B2"/>
    <w:rsid w:val="009F150D"/>
    <w:rsid w:val="009F1DD3"/>
    <w:rsid w:val="009F41D6"/>
    <w:rsid w:val="00A00AF8"/>
    <w:rsid w:val="00A00BD0"/>
    <w:rsid w:val="00A02EB2"/>
    <w:rsid w:val="00A049D9"/>
    <w:rsid w:val="00A05202"/>
    <w:rsid w:val="00A07187"/>
    <w:rsid w:val="00A11B6A"/>
    <w:rsid w:val="00A152FE"/>
    <w:rsid w:val="00A2070D"/>
    <w:rsid w:val="00A31B0C"/>
    <w:rsid w:val="00A40501"/>
    <w:rsid w:val="00A461BB"/>
    <w:rsid w:val="00A525B0"/>
    <w:rsid w:val="00A55027"/>
    <w:rsid w:val="00A57D62"/>
    <w:rsid w:val="00A61315"/>
    <w:rsid w:val="00A728DC"/>
    <w:rsid w:val="00A73DEE"/>
    <w:rsid w:val="00A75871"/>
    <w:rsid w:val="00A81427"/>
    <w:rsid w:val="00A832B8"/>
    <w:rsid w:val="00A83F30"/>
    <w:rsid w:val="00A85290"/>
    <w:rsid w:val="00A8594A"/>
    <w:rsid w:val="00A8758A"/>
    <w:rsid w:val="00A90917"/>
    <w:rsid w:val="00A93BD9"/>
    <w:rsid w:val="00A9523F"/>
    <w:rsid w:val="00A96CB9"/>
    <w:rsid w:val="00AA703C"/>
    <w:rsid w:val="00AA7197"/>
    <w:rsid w:val="00AB44D6"/>
    <w:rsid w:val="00AB57E7"/>
    <w:rsid w:val="00AC1041"/>
    <w:rsid w:val="00AC4D9F"/>
    <w:rsid w:val="00AD6205"/>
    <w:rsid w:val="00AE34CA"/>
    <w:rsid w:val="00AE5388"/>
    <w:rsid w:val="00AE65AB"/>
    <w:rsid w:val="00AF39A8"/>
    <w:rsid w:val="00AF742A"/>
    <w:rsid w:val="00B011AF"/>
    <w:rsid w:val="00B04C67"/>
    <w:rsid w:val="00B06C15"/>
    <w:rsid w:val="00B10D79"/>
    <w:rsid w:val="00B12759"/>
    <w:rsid w:val="00B16C9B"/>
    <w:rsid w:val="00B23D9F"/>
    <w:rsid w:val="00B27CE7"/>
    <w:rsid w:val="00B312AB"/>
    <w:rsid w:val="00B379D3"/>
    <w:rsid w:val="00B4055E"/>
    <w:rsid w:val="00B44DA0"/>
    <w:rsid w:val="00B46076"/>
    <w:rsid w:val="00B46DCD"/>
    <w:rsid w:val="00B5403F"/>
    <w:rsid w:val="00B54680"/>
    <w:rsid w:val="00B60133"/>
    <w:rsid w:val="00B62BC1"/>
    <w:rsid w:val="00B66BAC"/>
    <w:rsid w:val="00B709D6"/>
    <w:rsid w:val="00B71F21"/>
    <w:rsid w:val="00B82E75"/>
    <w:rsid w:val="00B8471B"/>
    <w:rsid w:val="00B91ECA"/>
    <w:rsid w:val="00B93ED4"/>
    <w:rsid w:val="00BA1E13"/>
    <w:rsid w:val="00BA34A3"/>
    <w:rsid w:val="00BA7E30"/>
    <w:rsid w:val="00BB0471"/>
    <w:rsid w:val="00BB55D4"/>
    <w:rsid w:val="00BB5C6C"/>
    <w:rsid w:val="00BB7ADF"/>
    <w:rsid w:val="00BC66FC"/>
    <w:rsid w:val="00BC7DA0"/>
    <w:rsid w:val="00BC7E5A"/>
    <w:rsid w:val="00BC7ED1"/>
    <w:rsid w:val="00BD0685"/>
    <w:rsid w:val="00BD5A41"/>
    <w:rsid w:val="00BE4ECC"/>
    <w:rsid w:val="00BF187B"/>
    <w:rsid w:val="00BF4574"/>
    <w:rsid w:val="00C0391B"/>
    <w:rsid w:val="00C05F90"/>
    <w:rsid w:val="00C13648"/>
    <w:rsid w:val="00C13AAC"/>
    <w:rsid w:val="00C15AE1"/>
    <w:rsid w:val="00C2328D"/>
    <w:rsid w:val="00C26D37"/>
    <w:rsid w:val="00C35B48"/>
    <w:rsid w:val="00C441FF"/>
    <w:rsid w:val="00C44545"/>
    <w:rsid w:val="00C44AAF"/>
    <w:rsid w:val="00C45480"/>
    <w:rsid w:val="00C46E26"/>
    <w:rsid w:val="00C556DC"/>
    <w:rsid w:val="00C56347"/>
    <w:rsid w:val="00C65BF7"/>
    <w:rsid w:val="00C706A6"/>
    <w:rsid w:val="00C7290E"/>
    <w:rsid w:val="00C76116"/>
    <w:rsid w:val="00C766F8"/>
    <w:rsid w:val="00C77288"/>
    <w:rsid w:val="00C77FCB"/>
    <w:rsid w:val="00C84F66"/>
    <w:rsid w:val="00C92A6E"/>
    <w:rsid w:val="00C977FC"/>
    <w:rsid w:val="00CA37DD"/>
    <w:rsid w:val="00CB1BDD"/>
    <w:rsid w:val="00CB2020"/>
    <w:rsid w:val="00CC68FC"/>
    <w:rsid w:val="00CC77CE"/>
    <w:rsid w:val="00CD076A"/>
    <w:rsid w:val="00CD2B63"/>
    <w:rsid w:val="00CD2BF9"/>
    <w:rsid w:val="00CD3CA5"/>
    <w:rsid w:val="00CE056C"/>
    <w:rsid w:val="00CE105F"/>
    <w:rsid w:val="00CE7932"/>
    <w:rsid w:val="00CF04ED"/>
    <w:rsid w:val="00CF0CDA"/>
    <w:rsid w:val="00CF1662"/>
    <w:rsid w:val="00CF5C09"/>
    <w:rsid w:val="00D029C9"/>
    <w:rsid w:val="00D03247"/>
    <w:rsid w:val="00D057BA"/>
    <w:rsid w:val="00D145AC"/>
    <w:rsid w:val="00D21861"/>
    <w:rsid w:val="00D25993"/>
    <w:rsid w:val="00D267B1"/>
    <w:rsid w:val="00D27F83"/>
    <w:rsid w:val="00D30C81"/>
    <w:rsid w:val="00D35276"/>
    <w:rsid w:val="00D35DE0"/>
    <w:rsid w:val="00D367CF"/>
    <w:rsid w:val="00D41854"/>
    <w:rsid w:val="00D4707C"/>
    <w:rsid w:val="00D569A5"/>
    <w:rsid w:val="00D600ED"/>
    <w:rsid w:val="00D62392"/>
    <w:rsid w:val="00D723D9"/>
    <w:rsid w:val="00D74372"/>
    <w:rsid w:val="00D74466"/>
    <w:rsid w:val="00D822E1"/>
    <w:rsid w:val="00D8541C"/>
    <w:rsid w:val="00D90FFD"/>
    <w:rsid w:val="00D93C2D"/>
    <w:rsid w:val="00D95DFA"/>
    <w:rsid w:val="00DA1461"/>
    <w:rsid w:val="00DA5795"/>
    <w:rsid w:val="00DB09FE"/>
    <w:rsid w:val="00DB5E52"/>
    <w:rsid w:val="00DC600A"/>
    <w:rsid w:val="00DD3DD4"/>
    <w:rsid w:val="00DD6930"/>
    <w:rsid w:val="00DD75E3"/>
    <w:rsid w:val="00DD7764"/>
    <w:rsid w:val="00DE0713"/>
    <w:rsid w:val="00DE5CFC"/>
    <w:rsid w:val="00DF3D38"/>
    <w:rsid w:val="00DF4D51"/>
    <w:rsid w:val="00DF5E5D"/>
    <w:rsid w:val="00E051E8"/>
    <w:rsid w:val="00E059F0"/>
    <w:rsid w:val="00E06664"/>
    <w:rsid w:val="00E10278"/>
    <w:rsid w:val="00E10B17"/>
    <w:rsid w:val="00E1398F"/>
    <w:rsid w:val="00E14A32"/>
    <w:rsid w:val="00E1552F"/>
    <w:rsid w:val="00E27E07"/>
    <w:rsid w:val="00E32F75"/>
    <w:rsid w:val="00E35602"/>
    <w:rsid w:val="00E37493"/>
    <w:rsid w:val="00E37505"/>
    <w:rsid w:val="00E50E23"/>
    <w:rsid w:val="00E538DB"/>
    <w:rsid w:val="00E62DB9"/>
    <w:rsid w:val="00E6314A"/>
    <w:rsid w:val="00E63337"/>
    <w:rsid w:val="00E65394"/>
    <w:rsid w:val="00E664E2"/>
    <w:rsid w:val="00E72256"/>
    <w:rsid w:val="00E74D2F"/>
    <w:rsid w:val="00EA4048"/>
    <w:rsid w:val="00EA6A3E"/>
    <w:rsid w:val="00EB1168"/>
    <w:rsid w:val="00EB17FA"/>
    <w:rsid w:val="00EB432D"/>
    <w:rsid w:val="00EB4C73"/>
    <w:rsid w:val="00EB571B"/>
    <w:rsid w:val="00EB5737"/>
    <w:rsid w:val="00EC1FA9"/>
    <w:rsid w:val="00EC2199"/>
    <w:rsid w:val="00EC23AE"/>
    <w:rsid w:val="00EC5318"/>
    <w:rsid w:val="00EC5483"/>
    <w:rsid w:val="00ED1844"/>
    <w:rsid w:val="00ED7AFE"/>
    <w:rsid w:val="00EE5BD5"/>
    <w:rsid w:val="00EE744C"/>
    <w:rsid w:val="00F068A9"/>
    <w:rsid w:val="00F101B4"/>
    <w:rsid w:val="00F117BC"/>
    <w:rsid w:val="00F1705A"/>
    <w:rsid w:val="00F21369"/>
    <w:rsid w:val="00F2221C"/>
    <w:rsid w:val="00F25887"/>
    <w:rsid w:val="00F25F74"/>
    <w:rsid w:val="00F423B8"/>
    <w:rsid w:val="00F47EAF"/>
    <w:rsid w:val="00F52247"/>
    <w:rsid w:val="00F61F78"/>
    <w:rsid w:val="00F63AF9"/>
    <w:rsid w:val="00F74CDA"/>
    <w:rsid w:val="00F7509E"/>
    <w:rsid w:val="00F8201C"/>
    <w:rsid w:val="00F83970"/>
    <w:rsid w:val="00F86AF7"/>
    <w:rsid w:val="00F90820"/>
    <w:rsid w:val="00F936DC"/>
    <w:rsid w:val="00F9690F"/>
    <w:rsid w:val="00FB16C6"/>
    <w:rsid w:val="00FB4809"/>
    <w:rsid w:val="00FB6C8B"/>
    <w:rsid w:val="00FC1365"/>
    <w:rsid w:val="00FC37A8"/>
    <w:rsid w:val="00FC3FCE"/>
    <w:rsid w:val="00FD00FA"/>
    <w:rsid w:val="00FD53AE"/>
    <w:rsid w:val="00FE2978"/>
    <w:rsid w:val="00FE7414"/>
    <w:rsid w:val="00FF48EB"/>
    <w:rsid w:val="00FF7C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7078"/>
    <w:pPr>
      <w:widowControl w:val="0"/>
      <w:tabs>
        <w:tab w:val="left" w:pos="567"/>
        <w:tab w:val="left" w:pos="4961"/>
      </w:tabs>
      <w:spacing w:line="480" w:lineRule="auto"/>
      <w:jc w:val="both"/>
    </w:pPr>
    <w:rPr>
      <w:rFonts w:ascii="Arial" w:hAnsi="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B87078"/>
  </w:style>
  <w:style w:type="table" w:styleId="TableGrid">
    <w:name w:val="Table Grid"/>
    <w:basedOn w:val="TableNormal"/>
    <w:rsid w:val="00747AD6"/>
    <w:pPr>
      <w:widowControl w:val="0"/>
      <w:tabs>
        <w:tab w:val="left" w:pos="567"/>
        <w:tab w:val="left" w:pos="4961"/>
      </w:tabs>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4C0E"/>
    <w:pPr>
      <w:tabs>
        <w:tab w:val="clear" w:pos="567"/>
        <w:tab w:val="clear" w:pos="4961"/>
        <w:tab w:val="center" w:pos="4320"/>
        <w:tab w:val="right" w:pos="8640"/>
      </w:tabs>
    </w:pPr>
  </w:style>
  <w:style w:type="character" w:styleId="PageNumber">
    <w:name w:val="page number"/>
    <w:basedOn w:val="DefaultParagraphFont"/>
    <w:rsid w:val="00A64C0E"/>
  </w:style>
  <w:style w:type="paragraph" w:styleId="FootnoteText">
    <w:name w:val="footnote text"/>
    <w:basedOn w:val="Normal"/>
    <w:link w:val="FootnoteTextChar"/>
    <w:rsid w:val="00AF2CE5"/>
    <w:rPr>
      <w:sz w:val="20"/>
      <w:szCs w:val="20"/>
    </w:rPr>
  </w:style>
  <w:style w:type="character" w:customStyle="1" w:styleId="FootnoteTextChar">
    <w:name w:val="Footnote Text Char"/>
    <w:basedOn w:val="DefaultParagraphFont"/>
    <w:link w:val="FootnoteText"/>
    <w:rsid w:val="00AF2CE5"/>
    <w:rPr>
      <w:rFonts w:ascii="Arial" w:hAnsi="Arial"/>
      <w:lang w:val="en-US" w:eastAsia="zh-CN"/>
    </w:rPr>
  </w:style>
  <w:style w:type="character" w:styleId="FootnoteReference">
    <w:name w:val="footnote reference"/>
    <w:basedOn w:val="DefaultParagraphFont"/>
    <w:rsid w:val="00AF2CE5"/>
    <w:rPr>
      <w:vertAlign w:val="superscript"/>
    </w:rPr>
  </w:style>
  <w:style w:type="paragraph" w:styleId="BalloonText">
    <w:name w:val="Balloon Text"/>
    <w:basedOn w:val="Normal"/>
    <w:link w:val="BalloonTextChar"/>
    <w:rsid w:val="00D06A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6A64"/>
    <w:rPr>
      <w:rFonts w:ascii="Tahoma" w:hAnsi="Tahoma" w:cs="Tahoma"/>
      <w:sz w:val="16"/>
      <w:szCs w:val="16"/>
      <w:lang w:val="en-US" w:eastAsia="zh-CN"/>
    </w:rPr>
  </w:style>
  <w:style w:type="paragraph" w:styleId="Header">
    <w:name w:val="header"/>
    <w:basedOn w:val="Normal"/>
    <w:link w:val="HeaderChar"/>
    <w:rsid w:val="00212C4E"/>
    <w:pPr>
      <w:tabs>
        <w:tab w:val="clear" w:pos="567"/>
        <w:tab w:val="clear" w:pos="4961"/>
        <w:tab w:val="center" w:pos="4320"/>
        <w:tab w:val="right" w:pos="8640"/>
      </w:tabs>
    </w:pPr>
  </w:style>
  <w:style w:type="character" w:customStyle="1" w:styleId="HeaderChar">
    <w:name w:val="Header Char"/>
    <w:basedOn w:val="DefaultParagraphFont"/>
    <w:link w:val="Header"/>
    <w:rsid w:val="00212C4E"/>
    <w:rPr>
      <w:rFonts w:ascii="Arial" w:hAnsi="Arial"/>
      <w:sz w:val="24"/>
      <w:szCs w:val="24"/>
      <w:lang w:eastAsia="zh-CN"/>
    </w:rPr>
  </w:style>
  <w:style w:type="paragraph" w:styleId="BodyText3">
    <w:name w:val="Body Text 3"/>
    <w:basedOn w:val="Normal"/>
    <w:link w:val="BodyText3Char"/>
    <w:rsid w:val="00212C4E"/>
    <w:pPr>
      <w:widowControl/>
      <w:tabs>
        <w:tab w:val="clear" w:pos="567"/>
        <w:tab w:val="clear" w:pos="4961"/>
      </w:tabs>
      <w:spacing w:after="240" w:line="360" w:lineRule="auto"/>
    </w:pPr>
    <w:rPr>
      <w:rFonts w:ascii="MgOptima" w:eastAsia="Times New Roman" w:hAnsi="MgOptima"/>
      <w:sz w:val="20"/>
      <w:lang w:val="el-GR" w:eastAsia="en-US"/>
    </w:rPr>
  </w:style>
  <w:style w:type="character" w:customStyle="1" w:styleId="BodyText3Char">
    <w:name w:val="Body Text 3 Char"/>
    <w:basedOn w:val="DefaultParagraphFont"/>
    <w:link w:val="BodyText3"/>
    <w:rsid w:val="00212C4E"/>
    <w:rPr>
      <w:rFonts w:ascii="MgOptima" w:eastAsia="Times New Roman" w:hAnsi="MgOptima"/>
      <w:szCs w:val="24"/>
      <w:lang w:val="el-GR"/>
    </w:rPr>
  </w:style>
  <w:style w:type="character" w:styleId="Hyperlink">
    <w:name w:val="Hyperlink"/>
    <w:basedOn w:val="DefaultParagraphFont"/>
    <w:uiPriority w:val="99"/>
    <w:rsid w:val="00C63CCC"/>
    <w:rPr>
      <w:color w:val="0000FF"/>
      <w:u w:val="single"/>
    </w:rPr>
  </w:style>
  <w:style w:type="paragraph" w:styleId="NormalWeb">
    <w:name w:val="Normal (Web)"/>
    <w:basedOn w:val="Normal"/>
    <w:uiPriority w:val="99"/>
    <w:rsid w:val="00602F32"/>
    <w:pPr>
      <w:widowControl/>
      <w:tabs>
        <w:tab w:val="clear" w:pos="567"/>
        <w:tab w:val="clear" w:pos="4961"/>
      </w:tabs>
      <w:spacing w:beforeLines="1" w:afterLines="1" w:line="240" w:lineRule="auto"/>
      <w:jc w:val="left"/>
    </w:pPr>
    <w:rPr>
      <w:rFonts w:ascii="Times" w:hAnsi="Times"/>
      <w:sz w:val="20"/>
      <w:szCs w:val="20"/>
      <w:lang w:eastAsia="en-US"/>
    </w:rPr>
  </w:style>
  <w:style w:type="paragraph" w:styleId="EndnoteText">
    <w:name w:val="endnote text"/>
    <w:basedOn w:val="Normal"/>
    <w:link w:val="EndnoteTextChar"/>
    <w:rsid w:val="00C977FC"/>
    <w:rPr>
      <w:sz w:val="20"/>
      <w:szCs w:val="20"/>
    </w:rPr>
  </w:style>
  <w:style w:type="character" w:customStyle="1" w:styleId="EndnoteTextChar">
    <w:name w:val="Endnote Text Char"/>
    <w:basedOn w:val="DefaultParagraphFont"/>
    <w:link w:val="EndnoteText"/>
    <w:rsid w:val="00C977FC"/>
    <w:rPr>
      <w:rFonts w:ascii="Arial" w:hAnsi="Arial"/>
      <w:lang w:val="en-US" w:eastAsia="zh-CN"/>
    </w:rPr>
  </w:style>
  <w:style w:type="character" w:styleId="EndnoteReference">
    <w:name w:val="endnote reference"/>
    <w:basedOn w:val="DefaultParagraphFont"/>
    <w:rsid w:val="00C977FC"/>
    <w:rPr>
      <w:vertAlign w:val="superscript"/>
    </w:rPr>
  </w:style>
  <w:style w:type="paragraph" w:styleId="ListParagraph">
    <w:name w:val="List Paragraph"/>
    <w:basedOn w:val="Normal"/>
    <w:uiPriority w:val="34"/>
    <w:qFormat/>
    <w:rsid w:val="00F936DC"/>
    <w:pPr>
      <w:ind w:left="720"/>
      <w:contextualSpacing/>
    </w:pPr>
  </w:style>
  <w:style w:type="paragraph" w:customStyle="1" w:styleId="Default">
    <w:name w:val="Default"/>
    <w:rsid w:val="00D057BA"/>
    <w:pPr>
      <w:autoSpaceDE w:val="0"/>
      <w:autoSpaceDN w:val="0"/>
      <w:adjustRightInd w:val="0"/>
    </w:pPr>
    <w:rPr>
      <w:rFonts w:ascii="Courier New" w:hAnsi="Courier New" w:cs="Courier New"/>
      <w:color w:val="000000"/>
      <w:sz w:val="24"/>
      <w:szCs w:val="24"/>
    </w:rPr>
  </w:style>
  <w:style w:type="character" w:customStyle="1" w:styleId="hps">
    <w:name w:val="hps"/>
    <w:basedOn w:val="DefaultParagraphFont"/>
    <w:rsid w:val="00773329"/>
  </w:style>
  <w:style w:type="character" w:styleId="CommentReference">
    <w:name w:val="annotation reference"/>
    <w:basedOn w:val="DefaultParagraphFont"/>
    <w:rsid w:val="003D1B0B"/>
    <w:rPr>
      <w:sz w:val="16"/>
      <w:szCs w:val="16"/>
    </w:rPr>
  </w:style>
  <w:style w:type="paragraph" w:styleId="CommentText">
    <w:name w:val="annotation text"/>
    <w:basedOn w:val="Normal"/>
    <w:link w:val="CommentTextChar"/>
    <w:rsid w:val="003D1B0B"/>
    <w:pPr>
      <w:spacing w:line="240" w:lineRule="auto"/>
    </w:pPr>
    <w:rPr>
      <w:sz w:val="20"/>
      <w:szCs w:val="20"/>
    </w:rPr>
  </w:style>
  <w:style w:type="character" w:customStyle="1" w:styleId="CommentTextChar">
    <w:name w:val="Comment Text Char"/>
    <w:basedOn w:val="DefaultParagraphFont"/>
    <w:link w:val="CommentText"/>
    <w:rsid w:val="003D1B0B"/>
    <w:rPr>
      <w:rFonts w:ascii="Arial" w:hAnsi="Arial"/>
      <w:lang w:val="en-US" w:eastAsia="zh-CN"/>
    </w:rPr>
  </w:style>
  <w:style w:type="paragraph" w:styleId="CommentSubject">
    <w:name w:val="annotation subject"/>
    <w:basedOn w:val="CommentText"/>
    <w:next w:val="CommentText"/>
    <w:link w:val="CommentSubjectChar"/>
    <w:rsid w:val="003D1B0B"/>
    <w:rPr>
      <w:b/>
      <w:bCs/>
    </w:rPr>
  </w:style>
  <w:style w:type="character" w:customStyle="1" w:styleId="CommentSubjectChar">
    <w:name w:val="Comment Subject Char"/>
    <w:basedOn w:val="CommentTextChar"/>
    <w:link w:val="CommentSubject"/>
    <w:rsid w:val="003D1B0B"/>
    <w:rPr>
      <w:rFonts w:ascii="Arial" w:hAnsi="Arial"/>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7078"/>
    <w:pPr>
      <w:widowControl w:val="0"/>
      <w:tabs>
        <w:tab w:val="left" w:pos="567"/>
        <w:tab w:val="left" w:pos="4961"/>
      </w:tabs>
      <w:spacing w:line="480" w:lineRule="auto"/>
      <w:jc w:val="both"/>
    </w:pPr>
    <w:rPr>
      <w:rFonts w:ascii="Arial" w:hAnsi="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B87078"/>
  </w:style>
  <w:style w:type="table" w:styleId="TableGrid">
    <w:name w:val="Table Grid"/>
    <w:basedOn w:val="TableNormal"/>
    <w:rsid w:val="00747AD6"/>
    <w:pPr>
      <w:widowControl w:val="0"/>
      <w:tabs>
        <w:tab w:val="left" w:pos="567"/>
        <w:tab w:val="left" w:pos="4961"/>
      </w:tabs>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4C0E"/>
    <w:pPr>
      <w:tabs>
        <w:tab w:val="clear" w:pos="567"/>
        <w:tab w:val="clear" w:pos="4961"/>
        <w:tab w:val="center" w:pos="4320"/>
        <w:tab w:val="right" w:pos="8640"/>
      </w:tabs>
    </w:pPr>
  </w:style>
  <w:style w:type="character" w:styleId="PageNumber">
    <w:name w:val="page number"/>
    <w:basedOn w:val="DefaultParagraphFont"/>
    <w:rsid w:val="00A64C0E"/>
  </w:style>
  <w:style w:type="paragraph" w:styleId="FootnoteText">
    <w:name w:val="footnote text"/>
    <w:basedOn w:val="Normal"/>
    <w:link w:val="FootnoteTextChar"/>
    <w:rsid w:val="00AF2CE5"/>
    <w:rPr>
      <w:sz w:val="20"/>
      <w:szCs w:val="20"/>
    </w:rPr>
  </w:style>
  <w:style w:type="character" w:customStyle="1" w:styleId="FootnoteTextChar">
    <w:name w:val="Footnote Text Char"/>
    <w:basedOn w:val="DefaultParagraphFont"/>
    <w:link w:val="FootnoteText"/>
    <w:rsid w:val="00AF2CE5"/>
    <w:rPr>
      <w:rFonts w:ascii="Arial" w:hAnsi="Arial"/>
      <w:lang w:val="en-US" w:eastAsia="zh-CN"/>
    </w:rPr>
  </w:style>
  <w:style w:type="character" w:styleId="FootnoteReference">
    <w:name w:val="footnote reference"/>
    <w:basedOn w:val="DefaultParagraphFont"/>
    <w:rsid w:val="00AF2CE5"/>
    <w:rPr>
      <w:vertAlign w:val="superscript"/>
    </w:rPr>
  </w:style>
  <w:style w:type="paragraph" w:styleId="BalloonText">
    <w:name w:val="Balloon Text"/>
    <w:basedOn w:val="Normal"/>
    <w:link w:val="BalloonTextChar"/>
    <w:rsid w:val="00D06A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6A64"/>
    <w:rPr>
      <w:rFonts w:ascii="Tahoma" w:hAnsi="Tahoma" w:cs="Tahoma"/>
      <w:sz w:val="16"/>
      <w:szCs w:val="16"/>
      <w:lang w:val="en-US" w:eastAsia="zh-CN"/>
    </w:rPr>
  </w:style>
  <w:style w:type="paragraph" w:styleId="Header">
    <w:name w:val="header"/>
    <w:basedOn w:val="Normal"/>
    <w:link w:val="HeaderChar"/>
    <w:rsid w:val="00212C4E"/>
    <w:pPr>
      <w:tabs>
        <w:tab w:val="clear" w:pos="567"/>
        <w:tab w:val="clear" w:pos="4961"/>
        <w:tab w:val="center" w:pos="4320"/>
        <w:tab w:val="right" w:pos="8640"/>
      </w:tabs>
    </w:pPr>
  </w:style>
  <w:style w:type="character" w:customStyle="1" w:styleId="HeaderChar">
    <w:name w:val="Header Char"/>
    <w:basedOn w:val="DefaultParagraphFont"/>
    <w:link w:val="Header"/>
    <w:rsid w:val="00212C4E"/>
    <w:rPr>
      <w:rFonts w:ascii="Arial" w:hAnsi="Arial"/>
      <w:sz w:val="24"/>
      <w:szCs w:val="24"/>
      <w:lang w:eastAsia="zh-CN"/>
    </w:rPr>
  </w:style>
  <w:style w:type="paragraph" w:styleId="BodyText3">
    <w:name w:val="Body Text 3"/>
    <w:basedOn w:val="Normal"/>
    <w:link w:val="BodyText3Char"/>
    <w:rsid w:val="00212C4E"/>
    <w:pPr>
      <w:widowControl/>
      <w:tabs>
        <w:tab w:val="clear" w:pos="567"/>
        <w:tab w:val="clear" w:pos="4961"/>
      </w:tabs>
      <w:spacing w:after="240" w:line="360" w:lineRule="auto"/>
    </w:pPr>
    <w:rPr>
      <w:rFonts w:ascii="MgOptima" w:eastAsia="Times New Roman" w:hAnsi="MgOptima"/>
      <w:sz w:val="20"/>
      <w:lang w:val="el-GR" w:eastAsia="en-US"/>
    </w:rPr>
  </w:style>
  <w:style w:type="character" w:customStyle="1" w:styleId="BodyText3Char">
    <w:name w:val="Body Text 3 Char"/>
    <w:basedOn w:val="DefaultParagraphFont"/>
    <w:link w:val="BodyText3"/>
    <w:rsid w:val="00212C4E"/>
    <w:rPr>
      <w:rFonts w:ascii="MgOptima" w:eastAsia="Times New Roman" w:hAnsi="MgOptima"/>
      <w:szCs w:val="24"/>
      <w:lang w:val="el-GR"/>
    </w:rPr>
  </w:style>
  <w:style w:type="character" w:styleId="Hyperlink">
    <w:name w:val="Hyperlink"/>
    <w:basedOn w:val="DefaultParagraphFont"/>
    <w:uiPriority w:val="99"/>
    <w:rsid w:val="00C63CCC"/>
    <w:rPr>
      <w:color w:val="0000FF"/>
      <w:u w:val="single"/>
    </w:rPr>
  </w:style>
  <w:style w:type="paragraph" w:styleId="NormalWeb">
    <w:name w:val="Normal (Web)"/>
    <w:basedOn w:val="Normal"/>
    <w:uiPriority w:val="99"/>
    <w:rsid w:val="00602F32"/>
    <w:pPr>
      <w:widowControl/>
      <w:tabs>
        <w:tab w:val="clear" w:pos="567"/>
        <w:tab w:val="clear" w:pos="4961"/>
      </w:tabs>
      <w:spacing w:beforeLines="1" w:afterLines="1" w:line="240" w:lineRule="auto"/>
      <w:jc w:val="left"/>
    </w:pPr>
    <w:rPr>
      <w:rFonts w:ascii="Times" w:hAnsi="Times"/>
      <w:sz w:val="20"/>
      <w:szCs w:val="20"/>
      <w:lang w:eastAsia="en-US"/>
    </w:rPr>
  </w:style>
  <w:style w:type="paragraph" w:styleId="EndnoteText">
    <w:name w:val="endnote text"/>
    <w:basedOn w:val="Normal"/>
    <w:link w:val="EndnoteTextChar"/>
    <w:rsid w:val="00C977FC"/>
    <w:rPr>
      <w:sz w:val="20"/>
      <w:szCs w:val="20"/>
    </w:rPr>
  </w:style>
  <w:style w:type="character" w:customStyle="1" w:styleId="EndnoteTextChar">
    <w:name w:val="Endnote Text Char"/>
    <w:basedOn w:val="DefaultParagraphFont"/>
    <w:link w:val="EndnoteText"/>
    <w:rsid w:val="00C977FC"/>
    <w:rPr>
      <w:rFonts w:ascii="Arial" w:hAnsi="Arial"/>
      <w:lang w:val="en-US" w:eastAsia="zh-CN"/>
    </w:rPr>
  </w:style>
  <w:style w:type="character" w:styleId="EndnoteReference">
    <w:name w:val="endnote reference"/>
    <w:basedOn w:val="DefaultParagraphFont"/>
    <w:rsid w:val="00C977FC"/>
    <w:rPr>
      <w:vertAlign w:val="superscript"/>
    </w:rPr>
  </w:style>
  <w:style w:type="paragraph" w:styleId="ListParagraph">
    <w:name w:val="List Paragraph"/>
    <w:basedOn w:val="Normal"/>
    <w:uiPriority w:val="34"/>
    <w:qFormat/>
    <w:rsid w:val="00F936DC"/>
    <w:pPr>
      <w:ind w:left="720"/>
      <w:contextualSpacing/>
    </w:pPr>
  </w:style>
  <w:style w:type="paragraph" w:customStyle="1" w:styleId="Default">
    <w:name w:val="Default"/>
    <w:rsid w:val="00D057BA"/>
    <w:pPr>
      <w:autoSpaceDE w:val="0"/>
      <w:autoSpaceDN w:val="0"/>
      <w:adjustRightInd w:val="0"/>
    </w:pPr>
    <w:rPr>
      <w:rFonts w:ascii="Courier New" w:hAnsi="Courier New" w:cs="Courier New"/>
      <w:color w:val="000000"/>
      <w:sz w:val="24"/>
      <w:szCs w:val="24"/>
    </w:rPr>
  </w:style>
  <w:style w:type="character" w:customStyle="1" w:styleId="hps">
    <w:name w:val="hps"/>
    <w:basedOn w:val="DefaultParagraphFont"/>
    <w:rsid w:val="00773329"/>
  </w:style>
  <w:style w:type="character" w:styleId="CommentReference">
    <w:name w:val="annotation reference"/>
    <w:basedOn w:val="DefaultParagraphFont"/>
    <w:rsid w:val="003D1B0B"/>
    <w:rPr>
      <w:sz w:val="16"/>
      <w:szCs w:val="16"/>
    </w:rPr>
  </w:style>
  <w:style w:type="paragraph" w:styleId="CommentText">
    <w:name w:val="annotation text"/>
    <w:basedOn w:val="Normal"/>
    <w:link w:val="CommentTextChar"/>
    <w:rsid w:val="003D1B0B"/>
    <w:pPr>
      <w:spacing w:line="240" w:lineRule="auto"/>
    </w:pPr>
    <w:rPr>
      <w:sz w:val="20"/>
      <w:szCs w:val="20"/>
    </w:rPr>
  </w:style>
  <w:style w:type="character" w:customStyle="1" w:styleId="CommentTextChar">
    <w:name w:val="Comment Text Char"/>
    <w:basedOn w:val="DefaultParagraphFont"/>
    <w:link w:val="CommentText"/>
    <w:rsid w:val="003D1B0B"/>
    <w:rPr>
      <w:rFonts w:ascii="Arial" w:hAnsi="Arial"/>
      <w:lang w:val="en-US" w:eastAsia="zh-CN"/>
    </w:rPr>
  </w:style>
  <w:style w:type="paragraph" w:styleId="CommentSubject">
    <w:name w:val="annotation subject"/>
    <w:basedOn w:val="CommentText"/>
    <w:next w:val="CommentText"/>
    <w:link w:val="CommentSubjectChar"/>
    <w:rsid w:val="003D1B0B"/>
    <w:rPr>
      <w:b/>
      <w:bCs/>
    </w:rPr>
  </w:style>
  <w:style w:type="character" w:customStyle="1" w:styleId="CommentSubjectChar">
    <w:name w:val="Comment Subject Char"/>
    <w:basedOn w:val="CommentTextChar"/>
    <w:link w:val="CommentSubject"/>
    <w:rsid w:val="003D1B0B"/>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735">
      <w:bodyDiv w:val="1"/>
      <w:marLeft w:val="0"/>
      <w:marRight w:val="0"/>
      <w:marTop w:val="0"/>
      <w:marBottom w:val="0"/>
      <w:divBdr>
        <w:top w:val="none" w:sz="0" w:space="0" w:color="auto"/>
        <w:left w:val="none" w:sz="0" w:space="0" w:color="auto"/>
        <w:bottom w:val="none" w:sz="0" w:space="0" w:color="auto"/>
        <w:right w:val="none" w:sz="0" w:space="0" w:color="auto"/>
      </w:divBdr>
    </w:div>
    <w:div w:id="506947402">
      <w:bodyDiv w:val="1"/>
      <w:marLeft w:val="0"/>
      <w:marRight w:val="0"/>
      <w:marTop w:val="0"/>
      <w:marBottom w:val="0"/>
      <w:divBdr>
        <w:top w:val="none" w:sz="0" w:space="0" w:color="auto"/>
        <w:left w:val="none" w:sz="0" w:space="0" w:color="auto"/>
        <w:bottom w:val="none" w:sz="0" w:space="0" w:color="auto"/>
        <w:right w:val="none" w:sz="0" w:space="0" w:color="auto"/>
      </w:divBdr>
      <w:divsChild>
        <w:div w:id="62991010">
          <w:marLeft w:val="0"/>
          <w:marRight w:val="0"/>
          <w:marTop w:val="0"/>
          <w:marBottom w:val="0"/>
          <w:divBdr>
            <w:top w:val="none" w:sz="0" w:space="0" w:color="auto"/>
            <w:left w:val="none" w:sz="0" w:space="0" w:color="auto"/>
            <w:bottom w:val="none" w:sz="0" w:space="0" w:color="auto"/>
            <w:right w:val="none" w:sz="0" w:space="0" w:color="auto"/>
          </w:divBdr>
        </w:div>
        <w:div w:id="74060893">
          <w:marLeft w:val="0"/>
          <w:marRight w:val="0"/>
          <w:marTop w:val="0"/>
          <w:marBottom w:val="0"/>
          <w:divBdr>
            <w:top w:val="none" w:sz="0" w:space="0" w:color="auto"/>
            <w:left w:val="none" w:sz="0" w:space="0" w:color="auto"/>
            <w:bottom w:val="none" w:sz="0" w:space="0" w:color="auto"/>
            <w:right w:val="none" w:sz="0" w:space="0" w:color="auto"/>
          </w:divBdr>
        </w:div>
        <w:div w:id="166558368">
          <w:marLeft w:val="0"/>
          <w:marRight w:val="0"/>
          <w:marTop w:val="0"/>
          <w:marBottom w:val="0"/>
          <w:divBdr>
            <w:top w:val="none" w:sz="0" w:space="0" w:color="auto"/>
            <w:left w:val="none" w:sz="0" w:space="0" w:color="auto"/>
            <w:bottom w:val="none" w:sz="0" w:space="0" w:color="auto"/>
            <w:right w:val="none" w:sz="0" w:space="0" w:color="auto"/>
          </w:divBdr>
        </w:div>
        <w:div w:id="190648872">
          <w:marLeft w:val="0"/>
          <w:marRight w:val="0"/>
          <w:marTop w:val="0"/>
          <w:marBottom w:val="0"/>
          <w:divBdr>
            <w:top w:val="none" w:sz="0" w:space="0" w:color="auto"/>
            <w:left w:val="none" w:sz="0" w:space="0" w:color="auto"/>
            <w:bottom w:val="none" w:sz="0" w:space="0" w:color="auto"/>
            <w:right w:val="none" w:sz="0" w:space="0" w:color="auto"/>
          </w:divBdr>
        </w:div>
        <w:div w:id="203182453">
          <w:marLeft w:val="0"/>
          <w:marRight w:val="0"/>
          <w:marTop w:val="0"/>
          <w:marBottom w:val="0"/>
          <w:divBdr>
            <w:top w:val="none" w:sz="0" w:space="0" w:color="auto"/>
            <w:left w:val="none" w:sz="0" w:space="0" w:color="auto"/>
            <w:bottom w:val="none" w:sz="0" w:space="0" w:color="auto"/>
            <w:right w:val="none" w:sz="0" w:space="0" w:color="auto"/>
          </w:divBdr>
        </w:div>
        <w:div w:id="439029520">
          <w:marLeft w:val="0"/>
          <w:marRight w:val="0"/>
          <w:marTop w:val="0"/>
          <w:marBottom w:val="0"/>
          <w:divBdr>
            <w:top w:val="none" w:sz="0" w:space="0" w:color="auto"/>
            <w:left w:val="none" w:sz="0" w:space="0" w:color="auto"/>
            <w:bottom w:val="none" w:sz="0" w:space="0" w:color="auto"/>
            <w:right w:val="none" w:sz="0" w:space="0" w:color="auto"/>
          </w:divBdr>
        </w:div>
        <w:div w:id="712002013">
          <w:marLeft w:val="0"/>
          <w:marRight w:val="0"/>
          <w:marTop w:val="0"/>
          <w:marBottom w:val="0"/>
          <w:divBdr>
            <w:top w:val="none" w:sz="0" w:space="0" w:color="auto"/>
            <w:left w:val="none" w:sz="0" w:space="0" w:color="auto"/>
            <w:bottom w:val="none" w:sz="0" w:space="0" w:color="auto"/>
            <w:right w:val="none" w:sz="0" w:space="0" w:color="auto"/>
          </w:divBdr>
        </w:div>
        <w:div w:id="1042944631">
          <w:marLeft w:val="0"/>
          <w:marRight w:val="0"/>
          <w:marTop w:val="0"/>
          <w:marBottom w:val="0"/>
          <w:divBdr>
            <w:top w:val="none" w:sz="0" w:space="0" w:color="auto"/>
            <w:left w:val="none" w:sz="0" w:space="0" w:color="auto"/>
            <w:bottom w:val="none" w:sz="0" w:space="0" w:color="auto"/>
            <w:right w:val="none" w:sz="0" w:space="0" w:color="auto"/>
          </w:divBdr>
        </w:div>
        <w:div w:id="1060178041">
          <w:marLeft w:val="0"/>
          <w:marRight w:val="0"/>
          <w:marTop w:val="0"/>
          <w:marBottom w:val="0"/>
          <w:divBdr>
            <w:top w:val="none" w:sz="0" w:space="0" w:color="auto"/>
            <w:left w:val="none" w:sz="0" w:space="0" w:color="auto"/>
            <w:bottom w:val="none" w:sz="0" w:space="0" w:color="auto"/>
            <w:right w:val="none" w:sz="0" w:space="0" w:color="auto"/>
          </w:divBdr>
        </w:div>
        <w:div w:id="1289245339">
          <w:marLeft w:val="0"/>
          <w:marRight w:val="0"/>
          <w:marTop w:val="0"/>
          <w:marBottom w:val="0"/>
          <w:divBdr>
            <w:top w:val="none" w:sz="0" w:space="0" w:color="auto"/>
            <w:left w:val="none" w:sz="0" w:space="0" w:color="auto"/>
            <w:bottom w:val="none" w:sz="0" w:space="0" w:color="auto"/>
            <w:right w:val="none" w:sz="0" w:space="0" w:color="auto"/>
          </w:divBdr>
        </w:div>
        <w:div w:id="1613395675">
          <w:marLeft w:val="0"/>
          <w:marRight w:val="0"/>
          <w:marTop w:val="0"/>
          <w:marBottom w:val="0"/>
          <w:divBdr>
            <w:top w:val="none" w:sz="0" w:space="0" w:color="auto"/>
            <w:left w:val="none" w:sz="0" w:space="0" w:color="auto"/>
            <w:bottom w:val="none" w:sz="0" w:space="0" w:color="auto"/>
            <w:right w:val="none" w:sz="0" w:space="0" w:color="auto"/>
          </w:divBdr>
        </w:div>
        <w:div w:id="1710492466">
          <w:marLeft w:val="0"/>
          <w:marRight w:val="0"/>
          <w:marTop w:val="0"/>
          <w:marBottom w:val="0"/>
          <w:divBdr>
            <w:top w:val="none" w:sz="0" w:space="0" w:color="auto"/>
            <w:left w:val="none" w:sz="0" w:space="0" w:color="auto"/>
            <w:bottom w:val="none" w:sz="0" w:space="0" w:color="auto"/>
            <w:right w:val="none" w:sz="0" w:space="0" w:color="auto"/>
          </w:divBdr>
        </w:div>
        <w:div w:id="1887984473">
          <w:marLeft w:val="0"/>
          <w:marRight w:val="0"/>
          <w:marTop w:val="0"/>
          <w:marBottom w:val="0"/>
          <w:divBdr>
            <w:top w:val="none" w:sz="0" w:space="0" w:color="auto"/>
            <w:left w:val="none" w:sz="0" w:space="0" w:color="auto"/>
            <w:bottom w:val="none" w:sz="0" w:space="0" w:color="auto"/>
            <w:right w:val="none" w:sz="0" w:space="0" w:color="auto"/>
          </w:divBdr>
        </w:div>
      </w:divsChild>
    </w:div>
    <w:div w:id="988824125">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5">
          <w:marLeft w:val="0"/>
          <w:marRight w:val="0"/>
          <w:marTop w:val="0"/>
          <w:marBottom w:val="0"/>
          <w:divBdr>
            <w:top w:val="none" w:sz="0" w:space="0" w:color="auto"/>
            <w:left w:val="none" w:sz="0" w:space="0" w:color="auto"/>
            <w:bottom w:val="none" w:sz="0" w:space="0" w:color="auto"/>
            <w:right w:val="none" w:sz="0" w:space="0" w:color="auto"/>
          </w:divBdr>
        </w:div>
      </w:divsChild>
    </w:div>
    <w:div w:id="1260026668">
      <w:bodyDiv w:val="1"/>
      <w:marLeft w:val="0"/>
      <w:marRight w:val="0"/>
      <w:marTop w:val="0"/>
      <w:marBottom w:val="0"/>
      <w:divBdr>
        <w:top w:val="none" w:sz="0" w:space="0" w:color="auto"/>
        <w:left w:val="none" w:sz="0" w:space="0" w:color="auto"/>
        <w:bottom w:val="none" w:sz="0" w:space="0" w:color="auto"/>
        <w:right w:val="none" w:sz="0" w:space="0" w:color="auto"/>
      </w:divBdr>
    </w:div>
    <w:div w:id="1357346333">
      <w:bodyDiv w:val="1"/>
      <w:marLeft w:val="0"/>
      <w:marRight w:val="0"/>
      <w:marTop w:val="0"/>
      <w:marBottom w:val="0"/>
      <w:divBdr>
        <w:top w:val="none" w:sz="0" w:space="0" w:color="auto"/>
        <w:left w:val="none" w:sz="0" w:space="0" w:color="auto"/>
        <w:bottom w:val="none" w:sz="0" w:space="0" w:color="auto"/>
        <w:right w:val="none" w:sz="0" w:space="0" w:color="auto"/>
      </w:divBdr>
    </w:div>
    <w:div w:id="1596789611">
      <w:bodyDiv w:val="1"/>
      <w:marLeft w:val="0"/>
      <w:marRight w:val="0"/>
      <w:marTop w:val="0"/>
      <w:marBottom w:val="0"/>
      <w:divBdr>
        <w:top w:val="none" w:sz="0" w:space="0" w:color="auto"/>
        <w:left w:val="none" w:sz="0" w:space="0" w:color="auto"/>
        <w:bottom w:val="none" w:sz="0" w:space="0" w:color="auto"/>
        <w:right w:val="none" w:sz="0" w:space="0" w:color="auto"/>
      </w:divBdr>
      <w:divsChild>
        <w:div w:id="115755168">
          <w:marLeft w:val="0"/>
          <w:marRight w:val="0"/>
          <w:marTop w:val="0"/>
          <w:marBottom w:val="0"/>
          <w:divBdr>
            <w:top w:val="none" w:sz="0" w:space="0" w:color="auto"/>
            <w:left w:val="none" w:sz="0" w:space="0" w:color="auto"/>
            <w:bottom w:val="none" w:sz="0" w:space="0" w:color="auto"/>
            <w:right w:val="none" w:sz="0" w:space="0" w:color="auto"/>
          </w:divBdr>
        </w:div>
        <w:div w:id="169032394">
          <w:marLeft w:val="0"/>
          <w:marRight w:val="0"/>
          <w:marTop w:val="0"/>
          <w:marBottom w:val="0"/>
          <w:divBdr>
            <w:top w:val="none" w:sz="0" w:space="0" w:color="auto"/>
            <w:left w:val="none" w:sz="0" w:space="0" w:color="auto"/>
            <w:bottom w:val="none" w:sz="0" w:space="0" w:color="auto"/>
            <w:right w:val="none" w:sz="0" w:space="0" w:color="auto"/>
          </w:divBdr>
        </w:div>
        <w:div w:id="190803521">
          <w:marLeft w:val="0"/>
          <w:marRight w:val="0"/>
          <w:marTop w:val="0"/>
          <w:marBottom w:val="0"/>
          <w:divBdr>
            <w:top w:val="none" w:sz="0" w:space="0" w:color="auto"/>
            <w:left w:val="none" w:sz="0" w:space="0" w:color="auto"/>
            <w:bottom w:val="none" w:sz="0" w:space="0" w:color="auto"/>
            <w:right w:val="none" w:sz="0" w:space="0" w:color="auto"/>
          </w:divBdr>
        </w:div>
        <w:div w:id="231308514">
          <w:marLeft w:val="0"/>
          <w:marRight w:val="0"/>
          <w:marTop w:val="0"/>
          <w:marBottom w:val="0"/>
          <w:divBdr>
            <w:top w:val="none" w:sz="0" w:space="0" w:color="auto"/>
            <w:left w:val="none" w:sz="0" w:space="0" w:color="auto"/>
            <w:bottom w:val="none" w:sz="0" w:space="0" w:color="auto"/>
            <w:right w:val="none" w:sz="0" w:space="0" w:color="auto"/>
          </w:divBdr>
        </w:div>
        <w:div w:id="232588069">
          <w:marLeft w:val="0"/>
          <w:marRight w:val="0"/>
          <w:marTop w:val="0"/>
          <w:marBottom w:val="0"/>
          <w:divBdr>
            <w:top w:val="none" w:sz="0" w:space="0" w:color="auto"/>
            <w:left w:val="none" w:sz="0" w:space="0" w:color="auto"/>
            <w:bottom w:val="none" w:sz="0" w:space="0" w:color="auto"/>
            <w:right w:val="none" w:sz="0" w:space="0" w:color="auto"/>
          </w:divBdr>
        </w:div>
        <w:div w:id="255941815">
          <w:marLeft w:val="0"/>
          <w:marRight w:val="0"/>
          <w:marTop w:val="0"/>
          <w:marBottom w:val="0"/>
          <w:divBdr>
            <w:top w:val="none" w:sz="0" w:space="0" w:color="auto"/>
            <w:left w:val="none" w:sz="0" w:space="0" w:color="auto"/>
            <w:bottom w:val="none" w:sz="0" w:space="0" w:color="auto"/>
            <w:right w:val="none" w:sz="0" w:space="0" w:color="auto"/>
          </w:divBdr>
        </w:div>
        <w:div w:id="316109443">
          <w:marLeft w:val="0"/>
          <w:marRight w:val="0"/>
          <w:marTop w:val="0"/>
          <w:marBottom w:val="0"/>
          <w:divBdr>
            <w:top w:val="none" w:sz="0" w:space="0" w:color="auto"/>
            <w:left w:val="none" w:sz="0" w:space="0" w:color="auto"/>
            <w:bottom w:val="none" w:sz="0" w:space="0" w:color="auto"/>
            <w:right w:val="none" w:sz="0" w:space="0" w:color="auto"/>
          </w:divBdr>
        </w:div>
        <w:div w:id="442657494">
          <w:marLeft w:val="0"/>
          <w:marRight w:val="0"/>
          <w:marTop w:val="0"/>
          <w:marBottom w:val="0"/>
          <w:divBdr>
            <w:top w:val="none" w:sz="0" w:space="0" w:color="auto"/>
            <w:left w:val="none" w:sz="0" w:space="0" w:color="auto"/>
            <w:bottom w:val="none" w:sz="0" w:space="0" w:color="auto"/>
            <w:right w:val="none" w:sz="0" w:space="0" w:color="auto"/>
          </w:divBdr>
        </w:div>
        <w:div w:id="602539376">
          <w:marLeft w:val="0"/>
          <w:marRight w:val="0"/>
          <w:marTop w:val="0"/>
          <w:marBottom w:val="0"/>
          <w:divBdr>
            <w:top w:val="none" w:sz="0" w:space="0" w:color="auto"/>
            <w:left w:val="none" w:sz="0" w:space="0" w:color="auto"/>
            <w:bottom w:val="none" w:sz="0" w:space="0" w:color="auto"/>
            <w:right w:val="none" w:sz="0" w:space="0" w:color="auto"/>
          </w:divBdr>
        </w:div>
        <w:div w:id="726146621">
          <w:marLeft w:val="0"/>
          <w:marRight w:val="0"/>
          <w:marTop w:val="0"/>
          <w:marBottom w:val="0"/>
          <w:divBdr>
            <w:top w:val="none" w:sz="0" w:space="0" w:color="auto"/>
            <w:left w:val="none" w:sz="0" w:space="0" w:color="auto"/>
            <w:bottom w:val="none" w:sz="0" w:space="0" w:color="auto"/>
            <w:right w:val="none" w:sz="0" w:space="0" w:color="auto"/>
          </w:divBdr>
        </w:div>
        <w:div w:id="815073256">
          <w:marLeft w:val="0"/>
          <w:marRight w:val="0"/>
          <w:marTop w:val="0"/>
          <w:marBottom w:val="0"/>
          <w:divBdr>
            <w:top w:val="none" w:sz="0" w:space="0" w:color="auto"/>
            <w:left w:val="none" w:sz="0" w:space="0" w:color="auto"/>
            <w:bottom w:val="none" w:sz="0" w:space="0" w:color="auto"/>
            <w:right w:val="none" w:sz="0" w:space="0" w:color="auto"/>
          </w:divBdr>
        </w:div>
        <w:div w:id="920794644">
          <w:marLeft w:val="0"/>
          <w:marRight w:val="0"/>
          <w:marTop w:val="0"/>
          <w:marBottom w:val="0"/>
          <w:divBdr>
            <w:top w:val="none" w:sz="0" w:space="0" w:color="auto"/>
            <w:left w:val="none" w:sz="0" w:space="0" w:color="auto"/>
            <w:bottom w:val="none" w:sz="0" w:space="0" w:color="auto"/>
            <w:right w:val="none" w:sz="0" w:space="0" w:color="auto"/>
          </w:divBdr>
        </w:div>
        <w:div w:id="923344174">
          <w:marLeft w:val="0"/>
          <w:marRight w:val="0"/>
          <w:marTop w:val="0"/>
          <w:marBottom w:val="0"/>
          <w:divBdr>
            <w:top w:val="none" w:sz="0" w:space="0" w:color="auto"/>
            <w:left w:val="none" w:sz="0" w:space="0" w:color="auto"/>
            <w:bottom w:val="none" w:sz="0" w:space="0" w:color="auto"/>
            <w:right w:val="none" w:sz="0" w:space="0" w:color="auto"/>
          </w:divBdr>
        </w:div>
        <w:div w:id="989600646">
          <w:marLeft w:val="0"/>
          <w:marRight w:val="0"/>
          <w:marTop w:val="0"/>
          <w:marBottom w:val="0"/>
          <w:divBdr>
            <w:top w:val="none" w:sz="0" w:space="0" w:color="auto"/>
            <w:left w:val="none" w:sz="0" w:space="0" w:color="auto"/>
            <w:bottom w:val="none" w:sz="0" w:space="0" w:color="auto"/>
            <w:right w:val="none" w:sz="0" w:space="0" w:color="auto"/>
          </w:divBdr>
        </w:div>
        <w:div w:id="999576000">
          <w:marLeft w:val="0"/>
          <w:marRight w:val="0"/>
          <w:marTop w:val="0"/>
          <w:marBottom w:val="0"/>
          <w:divBdr>
            <w:top w:val="none" w:sz="0" w:space="0" w:color="auto"/>
            <w:left w:val="none" w:sz="0" w:space="0" w:color="auto"/>
            <w:bottom w:val="none" w:sz="0" w:space="0" w:color="auto"/>
            <w:right w:val="none" w:sz="0" w:space="0" w:color="auto"/>
          </w:divBdr>
        </w:div>
        <w:div w:id="1098522583">
          <w:marLeft w:val="0"/>
          <w:marRight w:val="0"/>
          <w:marTop w:val="0"/>
          <w:marBottom w:val="0"/>
          <w:divBdr>
            <w:top w:val="none" w:sz="0" w:space="0" w:color="auto"/>
            <w:left w:val="none" w:sz="0" w:space="0" w:color="auto"/>
            <w:bottom w:val="none" w:sz="0" w:space="0" w:color="auto"/>
            <w:right w:val="none" w:sz="0" w:space="0" w:color="auto"/>
          </w:divBdr>
        </w:div>
        <w:div w:id="1117216885">
          <w:marLeft w:val="0"/>
          <w:marRight w:val="0"/>
          <w:marTop w:val="0"/>
          <w:marBottom w:val="0"/>
          <w:divBdr>
            <w:top w:val="none" w:sz="0" w:space="0" w:color="auto"/>
            <w:left w:val="none" w:sz="0" w:space="0" w:color="auto"/>
            <w:bottom w:val="none" w:sz="0" w:space="0" w:color="auto"/>
            <w:right w:val="none" w:sz="0" w:space="0" w:color="auto"/>
          </w:divBdr>
        </w:div>
        <w:div w:id="1135104154">
          <w:marLeft w:val="0"/>
          <w:marRight w:val="0"/>
          <w:marTop w:val="0"/>
          <w:marBottom w:val="0"/>
          <w:divBdr>
            <w:top w:val="none" w:sz="0" w:space="0" w:color="auto"/>
            <w:left w:val="none" w:sz="0" w:space="0" w:color="auto"/>
            <w:bottom w:val="none" w:sz="0" w:space="0" w:color="auto"/>
            <w:right w:val="none" w:sz="0" w:space="0" w:color="auto"/>
          </w:divBdr>
        </w:div>
        <w:div w:id="1144811081">
          <w:marLeft w:val="0"/>
          <w:marRight w:val="0"/>
          <w:marTop w:val="0"/>
          <w:marBottom w:val="0"/>
          <w:divBdr>
            <w:top w:val="none" w:sz="0" w:space="0" w:color="auto"/>
            <w:left w:val="none" w:sz="0" w:space="0" w:color="auto"/>
            <w:bottom w:val="none" w:sz="0" w:space="0" w:color="auto"/>
            <w:right w:val="none" w:sz="0" w:space="0" w:color="auto"/>
          </w:divBdr>
        </w:div>
        <w:div w:id="1147935327">
          <w:marLeft w:val="0"/>
          <w:marRight w:val="0"/>
          <w:marTop w:val="0"/>
          <w:marBottom w:val="0"/>
          <w:divBdr>
            <w:top w:val="none" w:sz="0" w:space="0" w:color="auto"/>
            <w:left w:val="none" w:sz="0" w:space="0" w:color="auto"/>
            <w:bottom w:val="none" w:sz="0" w:space="0" w:color="auto"/>
            <w:right w:val="none" w:sz="0" w:space="0" w:color="auto"/>
          </w:divBdr>
        </w:div>
        <w:div w:id="1175918573">
          <w:marLeft w:val="0"/>
          <w:marRight w:val="0"/>
          <w:marTop w:val="0"/>
          <w:marBottom w:val="0"/>
          <w:divBdr>
            <w:top w:val="none" w:sz="0" w:space="0" w:color="auto"/>
            <w:left w:val="none" w:sz="0" w:space="0" w:color="auto"/>
            <w:bottom w:val="none" w:sz="0" w:space="0" w:color="auto"/>
            <w:right w:val="none" w:sz="0" w:space="0" w:color="auto"/>
          </w:divBdr>
        </w:div>
        <w:div w:id="1261064288">
          <w:marLeft w:val="0"/>
          <w:marRight w:val="0"/>
          <w:marTop w:val="0"/>
          <w:marBottom w:val="0"/>
          <w:divBdr>
            <w:top w:val="none" w:sz="0" w:space="0" w:color="auto"/>
            <w:left w:val="none" w:sz="0" w:space="0" w:color="auto"/>
            <w:bottom w:val="none" w:sz="0" w:space="0" w:color="auto"/>
            <w:right w:val="none" w:sz="0" w:space="0" w:color="auto"/>
          </w:divBdr>
        </w:div>
        <w:div w:id="1299531053">
          <w:marLeft w:val="0"/>
          <w:marRight w:val="0"/>
          <w:marTop w:val="0"/>
          <w:marBottom w:val="0"/>
          <w:divBdr>
            <w:top w:val="none" w:sz="0" w:space="0" w:color="auto"/>
            <w:left w:val="none" w:sz="0" w:space="0" w:color="auto"/>
            <w:bottom w:val="none" w:sz="0" w:space="0" w:color="auto"/>
            <w:right w:val="none" w:sz="0" w:space="0" w:color="auto"/>
          </w:divBdr>
        </w:div>
        <w:div w:id="1323582661">
          <w:marLeft w:val="0"/>
          <w:marRight w:val="0"/>
          <w:marTop w:val="0"/>
          <w:marBottom w:val="0"/>
          <w:divBdr>
            <w:top w:val="none" w:sz="0" w:space="0" w:color="auto"/>
            <w:left w:val="none" w:sz="0" w:space="0" w:color="auto"/>
            <w:bottom w:val="none" w:sz="0" w:space="0" w:color="auto"/>
            <w:right w:val="none" w:sz="0" w:space="0" w:color="auto"/>
          </w:divBdr>
        </w:div>
        <w:div w:id="1343896262">
          <w:marLeft w:val="0"/>
          <w:marRight w:val="0"/>
          <w:marTop w:val="0"/>
          <w:marBottom w:val="0"/>
          <w:divBdr>
            <w:top w:val="none" w:sz="0" w:space="0" w:color="auto"/>
            <w:left w:val="none" w:sz="0" w:space="0" w:color="auto"/>
            <w:bottom w:val="none" w:sz="0" w:space="0" w:color="auto"/>
            <w:right w:val="none" w:sz="0" w:space="0" w:color="auto"/>
          </w:divBdr>
        </w:div>
        <w:div w:id="1384869424">
          <w:marLeft w:val="0"/>
          <w:marRight w:val="0"/>
          <w:marTop w:val="0"/>
          <w:marBottom w:val="0"/>
          <w:divBdr>
            <w:top w:val="none" w:sz="0" w:space="0" w:color="auto"/>
            <w:left w:val="none" w:sz="0" w:space="0" w:color="auto"/>
            <w:bottom w:val="none" w:sz="0" w:space="0" w:color="auto"/>
            <w:right w:val="none" w:sz="0" w:space="0" w:color="auto"/>
          </w:divBdr>
        </w:div>
        <w:div w:id="1555967456">
          <w:marLeft w:val="0"/>
          <w:marRight w:val="0"/>
          <w:marTop w:val="0"/>
          <w:marBottom w:val="0"/>
          <w:divBdr>
            <w:top w:val="none" w:sz="0" w:space="0" w:color="auto"/>
            <w:left w:val="none" w:sz="0" w:space="0" w:color="auto"/>
            <w:bottom w:val="none" w:sz="0" w:space="0" w:color="auto"/>
            <w:right w:val="none" w:sz="0" w:space="0" w:color="auto"/>
          </w:divBdr>
        </w:div>
        <w:div w:id="1677343829">
          <w:marLeft w:val="0"/>
          <w:marRight w:val="0"/>
          <w:marTop w:val="0"/>
          <w:marBottom w:val="0"/>
          <w:divBdr>
            <w:top w:val="none" w:sz="0" w:space="0" w:color="auto"/>
            <w:left w:val="none" w:sz="0" w:space="0" w:color="auto"/>
            <w:bottom w:val="none" w:sz="0" w:space="0" w:color="auto"/>
            <w:right w:val="none" w:sz="0" w:space="0" w:color="auto"/>
          </w:divBdr>
        </w:div>
        <w:div w:id="1687098298">
          <w:marLeft w:val="0"/>
          <w:marRight w:val="0"/>
          <w:marTop w:val="0"/>
          <w:marBottom w:val="0"/>
          <w:divBdr>
            <w:top w:val="none" w:sz="0" w:space="0" w:color="auto"/>
            <w:left w:val="none" w:sz="0" w:space="0" w:color="auto"/>
            <w:bottom w:val="none" w:sz="0" w:space="0" w:color="auto"/>
            <w:right w:val="none" w:sz="0" w:space="0" w:color="auto"/>
          </w:divBdr>
        </w:div>
        <w:div w:id="1766684311">
          <w:marLeft w:val="0"/>
          <w:marRight w:val="0"/>
          <w:marTop w:val="0"/>
          <w:marBottom w:val="0"/>
          <w:divBdr>
            <w:top w:val="none" w:sz="0" w:space="0" w:color="auto"/>
            <w:left w:val="none" w:sz="0" w:space="0" w:color="auto"/>
            <w:bottom w:val="none" w:sz="0" w:space="0" w:color="auto"/>
            <w:right w:val="none" w:sz="0" w:space="0" w:color="auto"/>
          </w:divBdr>
        </w:div>
        <w:div w:id="1969357045">
          <w:marLeft w:val="0"/>
          <w:marRight w:val="0"/>
          <w:marTop w:val="0"/>
          <w:marBottom w:val="0"/>
          <w:divBdr>
            <w:top w:val="none" w:sz="0" w:space="0" w:color="auto"/>
            <w:left w:val="none" w:sz="0" w:space="0" w:color="auto"/>
            <w:bottom w:val="none" w:sz="0" w:space="0" w:color="auto"/>
            <w:right w:val="none" w:sz="0" w:space="0" w:color="auto"/>
          </w:divBdr>
        </w:div>
        <w:div w:id="2092506576">
          <w:marLeft w:val="0"/>
          <w:marRight w:val="0"/>
          <w:marTop w:val="0"/>
          <w:marBottom w:val="0"/>
          <w:divBdr>
            <w:top w:val="none" w:sz="0" w:space="0" w:color="auto"/>
            <w:left w:val="none" w:sz="0" w:space="0" w:color="auto"/>
            <w:bottom w:val="none" w:sz="0" w:space="0" w:color="auto"/>
            <w:right w:val="none" w:sz="0" w:space="0" w:color="auto"/>
          </w:divBdr>
        </w:div>
        <w:div w:id="2096241196">
          <w:marLeft w:val="0"/>
          <w:marRight w:val="0"/>
          <w:marTop w:val="0"/>
          <w:marBottom w:val="0"/>
          <w:divBdr>
            <w:top w:val="none" w:sz="0" w:space="0" w:color="auto"/>
            <w:left w:val="none" w:sz="0" w:space="0" w:color="auto"/>
            <w:bottom w:val="none" w:sz="0" w:space="0" w:color="auto"/>
            <w:right w:val="none" w:sz="0" w:space="0" w:color="auto"/>
          </w:divBdr>
        </w:div>
        <w:div w:id="2121681864">
          <w:marLeft w:val="0"/>
          <w:marRight w:val="0"/>
          <w:marTop w:val="0"/>
          <w:marBottom w:val="0"/>
          <w:divBdr>
            <w:top w:val="none" w:sz="0" w:space="0" w:color="auto"/>
            <w:left w:val="none" w:sz="0" w:space="0" w:color="auto"/>
            <w:bottom w:val="none" w:sz="0" w:space="0" w:color="auto"/>
            <w:right w:val="none" w:sz="0" w:space="0" w:color="auto"/>
          </w:divBdr>
        </w:div>
        <w:div w:id="2137798114">
          <w:marLeft w:val="0"/>
          <w:marRight w:val="0"/>
          <w:marTop w:val="0"/>
          <w:marBottom w:val="0"/>
          <w:divBdr>
            <w:top w:val="none" w:sz="0" w:space="0" w:color="auto"/>
            <w:left w:val="none" w:sz="0" w:space="0" w:color="auto"/>
            <w:bottom w:val="none" w:sz="0" w:space="0" w:color="auto"/>
            <w:right w:val="none" w:sz="0" w:space="0" w:color="auto"/>
          </w:divBdr>
        </w:div>
      </w:divsChild>
    </w:div>
    <w:div w:id="1815297329">
      <w:bodyDiv w:val="1"/>
      <w:marLeft w:val="0"/>
      <w:marRight w:val="0"/>
      <w:marTop w:val="0"/>
      <w:marBottom w:val="0"/>
      <w:divBdr>
        <w:top w:val="none" w:sz="0" w:space="0" w:color="auto"/>
        <w:left w:val="none" w:sz="0" w:space="0" w:color="auto"/>
        <w:bottom w:val="none" w:sz="0" w:space="0" w:color="auto"/>
        <w:right w:val="none" w:sz="0" w:space="0" w:color="auto"/>
      </w:divBdr>
    </w:div>
    <w:div w:id="1827554476">
      <w:bodyDiv w:val="1"/>
      <w:marLeft w:val="0"/>
      <w:marRight w:val="0"/>
      <w:marTop w:val="0"/>
      <w:marBottom w:val="0"/>
      <w:divBdr>
        <w:top w:val="none" w:sz="0" w:space="0" w:color="auto"/>
        <w:left w:val="none" w:sz="0" w:space="0" w:color="auto"/>
        <w:bottom w:val="none" w:sz="0" w:space="0" w:color="auto"/>
        <w:right w:val="none" w:sz="0" w:space="0" w:color="auto"/>
      </w:divBdr>
      <w:divsChild>
        <w:div w:id="93093790">
          <w:marLeft w:val="0"/>
          <w:marRight w:val="0"/>
          <w:marTop w:val="0"/>
          <w:marBottom w:val="0"/>
          <w:divBdr>
            <w:top w:val="none" w:sz="0" w:space="0" w:color="auto"/>
            <w:left w:val="none" w:sz="0" w:space="0" w:color="auto"/>
            <w:bottom w:val="none" w:sz="0" w:space="0" w:color="auto"/>
            <w:right w:val="none" w:sz="0" w:space="0" w:color="auto"/>
          </w:divBdr>
        </w:div>
      </w:divsChild>
    </w:div>
    <w:div w:id="2075275177">
      <w:bodyDiv w:val="1"/>
      <w:marLeft w:val="0"/>
      <w:marRight w:val="0"/>
      <w:marTop w:val="0"/>
      <w:marBottom w:val="0"/>
      <w:divBdr>
        <w:top w:val="none" w:sz="0" w:space="0" w:color="auto"/>
        <w:left w:val="none" w:sz="0" w:space="0" w:color="auto"/>
        <w:bottom w:val="none" w:sz="0" w:space="0" w:color="auto"/>
        <w:right w:val="none" w:sz="0" w:space="0" w:color="auto"/>
      </w:divBdr>
    </w:div>
    <w:div w:id="2075858335">
      <w:bodyDiv w:val="1"/>
      <w:marLeft w:val="0"/>
      <w:marRight w:val="0"/>
      <w:marTop w:val="0"/>
      <w:marBottom w:val="0"/>
      <w:divBdr>
        <w:top w:val="none" w:sz="0" w:space="0" w:color="auto"/>
        <w:left w:val="none" w:sz="0" w:space="0" w:color="auto"/>
        <w:bottom w:val="none" w:sz="0" w:space="0" w:color="auto"/>
        <w:right w:val="none" w:sz="0" w:space="0" w:color="auto"/>
      </w:divBdr>
      <w:divsChild>
        <w:div w:id="895431039">
          <w:marLeft w:val="0"/>
          <w:marRight w:val="0"/>
          <w:marTop w:val="0"/>
          <w:marBottom w:val="0"/>
          <w:divBdr>
            <w:top w:val="none" w:sz="0" w:space="0" w:color="auto"/>
            <w:left w:val="none" w:sz="0" w:space="0" w:color="auto"/>
            <w:bottom w:val="none" w:sz="0" w:space="0" w:color="auto"/>
            <w:right w:val="none" w:sz="0" w:space="0" w:color="auto"/>
          </w:divBdr>
        </w:div>
        <w:div w:id="1206026213">
          <w:marLeft w:val="0"/>
          <w:marRight w:val="0"/>
          <w:marTop w:val="0"/>
          <w:marBottom w:val="0"/>
          <w:divBdr>
            <w:top w:val="none" w:sz="0" w:space="0" w:color="auto"/>
            <w:left w:val="none" w:sz="0" w:space="0" w:color="auto"/>
            <w:bottom w:val="none" w:sz="0" w:space="0" w:color="auto"/>
            <w:right w:val="none" w:sz="0" w:space="0" w:color="auto"/>
          </w:divBdr>
        </w:div>
      </w:divsChild>
    </w:div>
    <w:div w:id="21049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6CC5-9655-4162-BD2A-3478EBE9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ΝΟΜΟΣ ΠΟΥ ΤΙΤΛΟΦΟΡΕΙΤΑΙ ΝΟΜΟΣ ΠΟΥ ΤΡΟΠΟΠΟΙΕΙ</vt:lpstr>
    </vt:vector>
  </TitlesOfParts>
  <Company>Microsoft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ΠΟΥ ΤΙΤΛΟΦΟΡΕΙΤΑΙ ΝΟΜΟΣ ΠΟΥ ΤΡΟΠΟΠΟΙΕΙ</dc:title>
  <dc:creator>USER</dc:creator>
  <cp:lastModifiedBy>iioannou</cp:lastModifiedBy>
  <cp:revision>2</cp:revision>
  <cp:lastPrinted>2017-02-16T09:19:00Z</cp:lastPrinted>
  <dcterms:created xsi:type="dcterms:W3CDTF">2018-10-29T12:18:00Z</dcterms:created>
  <dcterms:modified xsi:type="dcterms:W3CDTF">2018-10-29T12:18:00Z</dcterms:modified>
</cp:coreProperties>
</file>